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45CE" w14:textId="46C52573" w:rsidR="003A0DF1" w:rsidRPr="00074D97" w:rsidRDefault="003A0DF1" w:rsidP="003A0DF1">
      <w:pPr>
        <w:pStyle w:val="Didascalia"/>
        <w:tabs>
          <w:tab w:val="left" w:pos="9072"/>
        </w:tabs>
        <w:ind w:left="567" w:right="566"/>
        <w:jc w:val="center"/>
        <w:rPr>
          <w:b/>
          <w:bCs/>
          <w:szCs w:val="28"/>
        </w:rPr>
      </w:pPr>
      <w:r>
        <w:rPr>
          <w:noProof/>
        </w:rPr>
        <w:drawing>
          <wp:inline distT="0" distB="0" distL="0" distR="0" wp14:anchorId="0F8F0194" wp14:editId="040ECC6D">
            <wp:extent cx="3057525" cy="619125"/>
            <wp:effectExtent l="0" t="0" r="9525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4EF522" w14:textId="77777777" w:rsidR="003A0DF1" w:rsidRPr="006C7FF5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2"/>
          <w:szCs w:val="22"/>
          <w:lang w:val="x-none"/>
        </w:rPr>
      </w:pPr>
    </w:p>
    <w:p w14:paraId="031EF897" w14:textId="77777777" w:rsidR="003A0DF1" w:rsidRPr="004D52AC" w:rsidRDefault="003A0DF1" w:rsidP="003A0DF1">
      <w:pPr>
        <w:keepNext/>
        <w:tabs>
          <w:tab w:val="left" w:pos="9072"/>
        </w:tabs>
        <w:ind w:left="567" w:right="566"/>
        <w:jc w:val="right"/>
        <w:outlineLvl w:val="0"/>
        <w:rPr>
          <w:rFonts w:ascii="Arial" w:hAnsi="Arial"/>
          <w:b/>
          <w:bCs/>
          <w:iCs/>
          <w:sz w:val="28"/>
          <w:lang w:val="x-none"/>
        </w:rPr>
      </w:pPr>
      <w:r w:rsidRPr="004D52AC">
        <w:rPr>
          <w:rFonts w:ascii="Arial" w:hAnsi="Arial"/>
          <w:b/>
          <w:bCs/>
          <w:iCs/>
          <w:sz w:val="28"/>
          <w:lang w:val="x-none"/>
        </w:rPr>
        <w:t>Comunicato Stampa</w:t>
      </w:r>
    </w:p>
    <w:p w14:paraId="56336729" w14:textId="77777777" w:rsidR="003A0DF1" w:rsidRPr="00386C1B" w:rsidRDefault="003A0DF1" w:rsidP="003A0DF1">
      <w:pPr>
        <w:keepNext/>
        <w:tabs>
          <w:tab w:val="left" w:pos="9072"/>
        </w:tabs>
        <w:ind w:left="567" w:right="566"/>
        <w:outlineLvl w:val="2"/>
        <w:rPr>
          <w:iCs/>
          <w:sz w:val="22"/>
          <w:lang w:val="x-none"/>
        </w:rPr>
      </w:pPr>
    </w:p>
    <w:p w14:paraId="796402BF" w14:textId="77777777" w:rsidR="00C2371C" w:rsidRDefault="00523F81" w:rsidP="00695A9B">
      <w:pPr>
        <w:tabs>
          <w:tab w:val="left" w:pos="10065"/>
        </w:tabs>
        <w:ind w:left="-426" w:right="-427"/>
        <w:jc w:val="center"/>
        <w:rPr>
          <w:bCs/>
          <w:i/>
          <w:iCs/>
          <w:sz w:val="22"/>
          <w:szCs w:val="22"/>
        </w:rPr>
      </w:pPr>
      <w:bookmarkStart w:id="0" w:name="_Hlk125466093"/>
      <w:r>
        <w:rPr>
          <w:bCs/>
          <w:i/>
          <w:iCs/>
          <w:sz w:val="22"/>
          <w:szCs w:val="22"/>
        </w:rPr>
        <w:t>Presentat</w:t>
      </w:r>
      <w:r w:rsidR="00E44D54">
        <w:rPr>
          <w:bCs/>
          <w:i/>
          <w:iCs/>
          <w:sz w:val="22"/>
          <w:szCs w:val="22"/>
        </w:rPr>
        <w:t>a l</w:t>
      </w:r>
      <w:r w:rsidR="00DF4C9B">
        <w:rPr>
          <w:bCs/>
          <w:i/>
          <w:iCs/>
          <w:sz w:val="22"/>
          <w:szCs w:val="22"/>
        </w:rPr>
        <w:t xml:space="preserve">a </w:t>
      </w:r>
      <w:proofErr w:type="gramStart"/>
      <w:r w:rsidR="00DF4C9B">
        <w:rPr>
          <w:bCs/>
          <w:i/>
          <w:iCs/>
          <w:sz w:val="22"/>
          <w:szCs w:val="22"/>
        </w:rPr>
        <w:t>3^</w:t>
      </w:r>
      <w:proofErr w:type="gramEnd"/>
      <w:r w:rsidR="00DF4C9B">
        <w:rPr>
          <w:bCs/>
          <w:i/>
          <w:iCs/>
          <w:sz w:val="22"/>
          <w:szCs w:val="22"/>
        </w:rPr>
        <w:t xml:space="preserve"> edizione dell’</w:t>
      </w:r>
      <w:r>
        <w:rPr>
          <w:bCs/>
          <w:i/>
          <w:iCs/>
          <w:sz w:val="22"/>
          <w:szCs w:val="22"/>
        </w:rPr>
        <w:t>Osservatorio E</w:t>
      </w:r>
      <w:r w:rsidR="00E44D54">
        <w:rPr>
          <w:bCs/>
          <w:i/>
          <w:iCs/>
          <w:sz w:val="22"/>
          <w:szCs w:val="22"/>
        </w:rPr>
        <w:t xml:space="preserve">xport di </w:t>
      </w:r>
      <w:r>
        <w:rPr>
          <w:bCs/>
          <w:i/>
          <w:iCs/>
          <w:sz w:val="22"/>
          <w:szCs w:val="22"/>
        </w:rPr>
        <w:t>Confindustria Veneto Est con SACE</w:t>
      </w:r>
      <w:r w:rsidR="00E44D54">
        <w:rPr>
          <w:bCs/>
          <w:i/>
          <w:iCs/>
          <w:sz w:val="22"/>
          <w:szCs w:val="22"/>
        </w:rPr>
        <w:t xml:space="preserve"> e </w:t>
      </w:r>
      <w:r>
        <w:rPr>
          <w:bCs/>
          <w:i/>
          <w:iCs/>
          <w:sz w:val="22"/>
          <w:szCs w:val="22"/>
        </w:rPr>
        <w:t>Fondazione Nord E</w:t>
      </w:r>
      <w:r w:rsidR="00C2371C">
        <w:rPr>
          <w:bCs/>
          <w:i/>
          <w:iCs/>
          <w:sz w:val="22"/>
          <w:szCs w:val="22"/>
        </w:rPr>
        <w:t>st.</w:t>
      </w:r>
    </w:p>
    <w:p w14:paraId="68A56022" w14:textId="71CF34DE" w:rsidR="00695A9B" w:rsidRDefault="0070082F" w:rsidP="00695A9B">
      <w:pPr>
        <w:tabs>
          <w:tab w:val="left" w:pos="10065"/>
        </w:tabs>
        <w:ind w:left="-426" w:right="-427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In crescita anche il valore delle esportazioni del +24,8%</w:t>
      </w:r>
      <w:r w:rsidR="00695A9B">
        <w:rPr>
          <w:bCs/>
          <w:i/>
          <w:iCs/>
          <w:sz w:val="22"/>
          <w:szCs w:val="22"/>
        </w:rPr>
        <w:t xml:space="preserve"> nel 2022 rispetto al 2019.</w:t>
      </w:r>
      <w:r w:rsidR="00C32145">
        <w:rPr>
          <w:bCs/>
          <w:i/>
          <w:iCs/>
          <w:sz w:val="22"/>
          <w:szCs w:val="22"/>
        </w:rPr>
        <w:t xml:space="preserve"> </w:t>
      </w:r>
      <w:r w:rsidR="00106400">
        <w:rPr>
          <w:bCs/>
          <w:i/>
          <w:iCs/>
          <w:sz w:val="22"/>
          <w:szCs w:val="22"/>
        </w:rPr>
        <w:t>Investire in sostenibilit</w:t>
      </w:r>
      <w:r w:rsidR="00DA7BE5">
        <w:rPr>
          <w:bCs/>
          <w:i/>
          <w:iCs/>
          <w:sz w:val="22"/>
          <w:szCs w:val="22"/>
        </w:rPr>
        <w:t xml:space="preserve">à ambientale </w:t>
      </w:r>
      <w:r w:rsidR="00106400">
        <w:rPr>
          <w:bCs/>
          <w:i/>
          <w:iCs/>
          <w:sz w:val="22"/>
          <w:szCs w:val="22"/>
        </w:rPr>
        <w:t>rende più competitiv</w:t>
      </w:r>
      <w:r w:rsidR="00DA7BE5">
        <w:rPr>
          <w:bCs/>
          <w:i/>
          <w:iCs/>
          <w:sz w:val="22"/>
          <w:szCs w:val="22"/>
        </w:rPr>
        <w:t>i e per il 34,8% ha facilitato l’accesso ai mercat</w:t>
      </w:r>
      <w:r w:rsidR="00C32145">
        <w:rPr>
          <w:bCs/>
          <w:i/>
          <w:iCs/>
          <w:sz w:val="22"/>
          <w:szCs w:val="22"/>
        </w:rPr>
        <w:t>i (49,5% per le imprese più grandi).</w:t>
      </w:r>
    </w:p>
    <w:p w14:paraId="0B3C6E49" w14:textId="6E8C05CE" w:rsidR="00695A9B" w:rsidRDefault="00C2371C" w:rsidP="00695A9B">
      <w:pPr>
        <w:tabs>
          <w:tab w:val="left" w:pos="10065"/>
        </w:tabs>
        <w:ind w:left="-426" w:right="-427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L’export cresce con il digitale.</w:t>
      </w:r>
      <w:r w:rsidR="00DA7BE5">
        <w:rPr>
          <w:bCs/>
          <w:i/>
          <w:iCs/>
          <w:sz w:val="22"/>
          <w:szCs w:val="22"/>
        </w:rPr>
        <w:t xml:space="preserve"> </w:t>
      </w:r>
      <w:r>
        <w:rPr>
          <w:bCs/>
          <w:i/>
          <w:iCs/>
          <w:sz w:val="22"/>
          <w:szCs w:val="22"/>
        </w:rPr>
        <w:t>Germania, Franci</w:t>
      </w:r>
      <w:r w:rsidR="00DF3164">
        <w:rPr>
          <w:bCs/>
          <w:i/>
          <w:iCs/>
          <w:sz w:val="22"/>
          <w:szCs w:val="22"/>
        </w:rPr>
        <w:t>a, U</w:t>
      </w:r>
      <w:r w:rsidR="00695A9B">
        <w:rPr>
          <w:bCs/>
          <w:i/>
          <w:iCs/>
          <w:sz w:val="22"/>
          <w:szCs w:val="22"/>
        </w:rPr>
        <w:t>SA i Paesi target nel 2024, Emirati Arabi Uniti tra gli extra U</w:t>
      </w:r>
      <w:r w:rsidR="00CA745A">
        <w:rPr>
          <w:bCs/>
          <w:i/>
          <w:iCs/>
          <w:sz w:val="22"/>
          <w:szCs w:val="22"/>
        </w:rPr>
        <w:t>e</w:t>
      </w:r>
    </w:p>
    <w:bookmarkEnd w:id="0"/>
    <w:p w14:paraId="17C09B92" w14:textId="52C81EE2" w:rsidR="003A0DF1" w:rsidRPr="00F26DD8" w:rsidRDefault="003A0DF1" w:rsidP="00BC51C0">
      <w:pPr>
        <w:ind w:left="-142" w:right="-143"/>
        <w:jc w:val="center"/>
        <w:rPr>
          <w:i/>
          <w:sz w:val="16"/>
          <w:szCs w:val="16"/>
        </w:rPr>
      </w:pPr>
      <w:r w:rsidRPr="00F26DD8">
        <w:rPr>
          <w:i/>
          <w:sz w:val="16"/>
          <w:szCs w:val="16"/>
        </w:rPr>
        <w:t xml:space="preserve"> </w:t>
      </w:r>
    </w:p>
    <w:p w14:paraId="6A14CE96" w14:textId="3E4023E3" w:rsidR="009A771B" w:rsidRDefault="00940C4B" w:rsidP="00003B82">
      <w:pPr>
        <w:tabs>
          <w:tab w:val="left" w:pos="9356"/>
        </w:tabs>
        <w:ind w:left="-284" w:right="-285"/>
        <w:jc w:val="center"/>
        <w:rPr>
          <w:b/>
          <w:sz w:val="28"/>
          <w:szCs w:val="28"/>
        </w:rPr>
      </w:pPr>
      <w:bookmarkStart w:id="1" w:name="_Hlk125308715"/>
      <w:r>
        <w:rPr>
          <w:b/>
          <w:sz w:val="28"/>
          <w:szCs w:val="28"/>
        </w:rPr>
        <w:t>RETI DI FORNITUR</w:t>
      </w:r>
      <w:r w:rsidR="00003B82">
        <w:rPr>
          <w:b/>
          <w:sz w:val="28"/>
          <w:szCs w:val="28"/>
        </w:rPr>
        <w:t>A P</w:t>
      </w:r>
      <w:r w:rsidR="00003B82" w:rsidRPr="00003B82">
        <w:rPr>
          <w:b/>
          <w:caps/>
          <w:sz w:val="28"/>
          <w:szCs w:val="28"/>
        </w:rPr>
        <w:t>Iù V</w:t>
      </w:r>
      <w:r w:rsidR="00003B82">
        <w:rPr>
          <w:b/>
          <w:sz w:val="28"/>
          <w:szCs w:val="28"/>
        </w:rPr>
        <w:t xml:space="preserve">ICINE </w:t>
      </w:r>
      <w:r w:rsidR="008A1AB0">
        <w:rPr>
          <w:b/>
          <w:sz w:val="28"/>
          <w:szCs w:val="28"/>
        </w:rPr>
        <w:t>(P</w:t>
      </w:r>
      <w:r w:rsidR="008F6D5C">
        <w:rPr>
          <w:b/>
          <w:sz w:val="28"/>
          <w:szCs w:val="28"/>
        </w:rPr>
        <w:t>ER IL 18%</w:t>
      </w:r>
      <w:r w:rsidR="008A1AB0">
        <w:rPr>
          <w:b/>
          <w:sz w:val="28"/>
          <w:szCs w:val="28"/>
        </w:rPr>
        <w:t>)</w:t>
      </w:r>
      <w:r w:rsidR="00003B82">
        <w:rPr>
          <w:b/>
          <w:sz w:val="28"/>
          <w:szCs w:val="28"/>
        </w:rPr>
        <w:t>, TRAINO D</w:t>
      </w:r>
      <w:r w:rsidR="00864F23">
        <w:rPr>
          <w:b/>
          <w:sz w:val="28"/>
          <w:szCs w:val="28"/>
        </w:rPr>
        <w:t>I SOSTENIBILIT</w:t>
      </w:r>
      <w:r w:rsidR="00864F23" w:rsidRPr="00864F23">
        <w:rPr>
          <w:b/>
          <w:caps/>
          <w:sz w:val="28"/>
          <w:szCs w:val="28"/>
        </w:rPr>
        <w:t>à</w:t>
      </w:r>
      <w:r w:rsidR="00864F23">
        <w:rPr>
          <w:b/>
          <w:sz w:val="28"/>
          <w:szCs w:val="28"/>
        </w:rPr>
        <w:t xml:space="preserve"> E DIGITALE. </w:t>
      </w:r>
      <w:r w:rsidR="00DA7BE5">
        <w:rPr>
          <w:b/>
          <w:sz w:val="28"/>
          <w:szCs w:val="28"/>
        </w:rPr>
        <w:t>C</w:t>
      </w:r>
      <w:r w:rsidR="00DA7BE5" w:rsidRPr="00DA7BE5">
        <w:rPr>
          <w:b/>
          <w:caps/>
          <w:sz w:val="28"/>
          <w:szCs w:val="28"/>
        </w:rPr>
        <w:t xml:space="preserve">OSì </w:t>
      </w:r>
      <w:r w:rsidR="00DA7BE5">
        <w:rPr>
          <w:b/>
          <w:sz w:val="28"/>
          <w:szCs w:val="28"/>
        </w:rPr>
        <w:t>LE IMPRESE DEL VENETO EST</w:t>
      </w:r>
      <w:r w:rsidR="009A771B">
        <w:rPr>
          <w:b/>
          <w:sz w:val="28"/>
          <w:szCs w:val="28"/>
        </w:rPr>
        <w:t xml:space="preserve"> SPINGONO</w:t>
      </w:r>
    </w:p>
    <w:p w14:paraId="361BB6EA" w14:textId="40DB1DD3" w:rsidR="00940C4B" w:rsidRDefault="009A771B" w:rsidP="00003B82">
      <w:pPr>
        <w:tabs>
          <w:tab w:val="left" w:pos="9356"/>
        </w:tabs>
        <w:ind w:left="-284" w:right="-285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LA QUOTA ESTERA DI FATTURATO A</w:t>
      </w:r>
      <w:r w:rsidR="000C7DC1">
        <w:rPr>
          <w:b/>
          <w:sz w:val="28"/>
          <w:szCs w:val="28"/>
        </w:rPr>
        <w:t>L 36%</w:t>
      </w:r>
      <w:r>
        <w:rPr>
          <w:b/>
          <w:sz w:val="28"/>
          <w:szCs w:val="28"/>
        </w:rPr>
        <w:t xml:space="preserve"> </w:t>
      </w:r>
    </w:p>
    <w:bookmarkEnd w:id="1"/>
    <w:p w14:paraId="6CB47AD3" w14:textId="7C7AB57A" w:rsidR="009A4420" w:rsidRPr="00F26DD8" w:rsidRDefault="009A4420" w:rsidP="00523F81">
      <w:pPr>
        <w:tabs>
          <w:tab w:val="left" w:pos="9072"/>
        </w:tabs>
        <w:ind w:left="567" w:right="566"/>
        <w:jc w:val="center"/>
        <w:rPr>
          <w:sz w:val="16"/>
          <w:szCs w:val="16"/>
        </w:rPr>
      </w:pPr>
    </w:p>
    <w:p w14:paraId="5CC1D57A" w14:textId="77777777" w:rsidR="00CA745A" w:rsidRDefault="00523F81" w:rsidP="00650AD7">
      <w:pPr>
        <w:tabs>
          <w:tab w:val="left" w:pos="10065"/>
        </w:tabs>
        <w:ind w:left="-426" w:right="-427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Polin: «</w:t>
      </w:r>
      <w:r w:rsidR="00695A9B">
        <w:rPr>
          <w:bCs/>
          <w:i/>
          <w:iCs/>
          <w:sz w:val="22"/>
          <w:szCs w:val="22"/>
        </w:rPr>
        <w:t>Filiere corte e transizioni gemelle fanno crescere il manifatturier</w:t>
      </w:r>
      <w:r w:rsidR="00650AD7">
        <w:rPr>
          <w:bCs/>
          <w:i/>
          <w:iCs/>
          <w:sz w:val="22"/>
          <w:szCs w:val="22"/>
        </w:rPr>
        <w:t>o. Ora politiche industriali nazionali e U</w:t>
      </w:r>
      <w:r w:rsidR="00CA745A">
        <w:rPr>
          <w:bCs/>
          <w:i/>
          <w:iCs/>
          <w:sz w:val="22"/>
          <w:szCs w:val="22"/>
        </w:rPr>
        <w:t>e</w:t>
      </w:r>
    </w:p>
    <w:p w14:paraId="4649B0CD" w14:textId="6739344C" w:rsidR="00523F81" w:rsidRDefault="00A94D39" w:rsidP="00650AD7">
      <w:pPr>
        <w:tabs>
          <w:tab w:val="left" w:pos="10065"/>
        </w:tabs>
        <w:ind w:left="-426" w:right="-427"/>
        <w:jc w:val="center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 xml:space="preserve">per far emergere il potenziale di crescita. </w:t>
      </w:r>
      <w:r w:rsidR="00650AD7">
        <w:rPr>
          <w:bCs/>
          <w:i/>
          <w:iCs/>
          <w:sz w:val="22"/>
          <w:szCs w:val="22"/>
        </w:rPr>
        <w:t>Incentivare attrattività dei territori e competitività per nuovi investimenti</w:t>
      </w:r>
      <w:r w:rsidR="00523F81">
        <w:rPr>
          <w:bCs/>
          <w:i/>
          <w:iCs/>
          <w:sz w:val="22"/>
          <w:szCs w:val="22"/>
        </w:rPr>
        <w:t>»</w:t>
      </w:r>
    </w:p>
    <w:p w14:paraId="0A910AA6" w14:textId="7952498F" w:rsidR="00523F81" w:rsidRDefault="00523F81" w:rsidP="003A0DF1">
      <w:pPr>
        <w:tabs>
          <w:tab w:val="left" w:pos="9072"/>
        </w:tabs>
        <w:ind w:left="567" w:right="566"/>
        <w:jc w:val="both"/>
        <w:rPr>
          <w:sz w:val="22"/>
        </w:rPr>
      </w:pPr>
    </w:p>
    <w:p w14:paraId="04E1646A" w14:textId="5D1D177A" w:rsidR="00CB2977" w:rsidRDefault="003A0DF1" w:rsidP="00DF4C9B">
      <w:pPr>
        <w:tabs>
          <w:tab w:val="left" w:pos="9639"/>
        </w:tabs>
        <w:ind w:right="-1"/>
        <w:jc w:val="both"/>
        <w:rPr>
          <w:sz w:val="22"/>
        </w:rPr>
      </w:pPr>
      <w:r>
        <w:rPr>
          <w:sz w:val="22"/>
        </w:rPr>
        <w:t>(Padova-Treviso-Venezia-Rovigo</w:t>
      </w:r>
      <w:r w:rsidR="00DF4C9B">
        <w:rPr>
          <w:sz w:val="22"/>
        </w:rPr>
        <w:t xml:space="preserve"> - 31.01.2024</w:t>
      </w:r>
      <w:r>
        <w:rPr>
          <w:sz w:val="22"/>
        </w:rPr>
        <w:t>)</w:t>
      </w:r>
      <w:bookmarkStart w:id="2" w:name="_Hlk118972705"/>
      <w:r w:rsidR="00FE4BD9">
        <w:rPr>
          <w:sz w:val="22"/>
        </w:rPr>
        <w:t xml:space="preserve"> - I venti di guerra, dall’Ucraina a G</w:t>
      </w:r>
      <w:r w:rsidR="00B05F66">
        <w:rPr>
          <w:sz w:val="22"/>
        </w:rPr>
        <w:t>aza e Y</w:t>
      </w:r>
      <w:r w:rsidR="00EB4BFC">
        <w:rPr>
          <w:sz w:val="22"/>
        </w:rPr>
        <w:t xml:space="preserve">emen, dopo pandemia e crisi energetica, </w:t>
      </w:r>
      <w:r w:rsidR="00FE4BD9">
        <w:rPr>
          <w:sz w:val="22"/>
        </w:rPr>
        <w:t>hanno accelerat</w:t>
      </w:r>
      <w:r w:rsidR="00106841">
        <w:rPr>
          <w:sz w:val="22"/>
        </w:rPr>
        <w:t>o il riposizionamento sui mercati esteri e la riorganizzazione delle catene global</w:t>
      </w:r>
      <w:r w:rsidR="00EB4BFC">
        <w:rPr>
          <w:sz w:val="22"/>
        </w:rPr>
        <w:t xml:space="preserve">i di fornitura. </w:t>
      </w:r>
      <w:r w:rsidR="00106841">
        <w:rPr>
          <w:sz w:val="22"/>
        </w:rPr>
        <w:t>Ma non hanno scalfito la proiezione internazionale delle imprese manifatturier</w:t>
      </w:r>
      <w:r w:rsidR="00AE12A8">
        <w:rPr>
          <w:sz w:val="22"/>
        </w:rPr>
        <w:t>e del Veneto E</w:t>
      </w:r>
      <w:r w:rsidR="00EB4BFC">
        <w:rPr>
          <w:sz w:val="22"/>
        </w:rPr>
        <w:t xml:space="preserve">st, </w:t>
      </w:r>
      <w:r w:rsidR="0043579A">
        <w:rPr>
          <w:sz w:val="22"/>
        </w:rPr>
        <w:t xml:space="preserve">con una </w:t>
      </w:r>
      <w:r w:rsidR="00DB2D0E" w:rsidRPr="00DB2D0E">
        <w:rPr>
          <w:b/>
          <w:bCs/>
          <w:sz w:val="22"/>
        </w:rPr>
        <w:t>quota di fatturato</w:t>
      </w:r>
      <w:r w:rsidR="0043579A" w:rsidRPr="00F669AF">
        <w:rPr>
          <w:b/>
          <w:bCs/>
          <w:sz w:val="22"/>
        </w:rPr>
        <w:t xml:space="preserve"> </w:t>
      </w:r>
      <w:r w:rsidR="00DB2D0E" w:rsidRPr="00F669AF">
        <w:rPr>
          <w:b/>
          <w:bCs/>
          <w:sz w:val="22"/>
        </w:rPr>
        <w:t>e</w:t>
      </w:r>
      <w:r w:rsidR="0043579A" w:rsidRPr="00F669AF">
        <w:rPr>
          <w:b/>
          <w:bCs/>
          <w:sz w:val="22"/>
        </w:rPr>
        <w:t>stero</w:t>
      </w:r>
      <w:r w:rsidR="00B32C5B" w:rsidRPr="00B32C5B">
        <w:rPr>
          <w:sz w:val="22"/>
        </w:rPr>
        <w:t xml:space="preserve"> nel 2022 </w:t>
      </w:r>
      <w:r w:rsidR="0043579A">
        <w:rPr>
          <w:sz w:val="22"/>
        </w:rPr>
        <w:t>salit</w:t>
      </w:r>
      <w:r w:rsidR="000C7DC1">
        <w:rPr>
          <w:sz w:val="22"/>
        </w:rPr>
        <w:t>a al 36% (valore medio) dal 33,5% nel 2021</w:t>
      </w:r>
      <w:bookmarkStart w:id="3" w:name="_Hlk157448754"/>
      <w:r w:rsidR="000C7DC1">
        <w:rPr>
          <w:sz w:val="22"/>
        </w:rPr>
        <w:t xml:space="preserve">; </w:t>
      </w:r>
      <w:r w:rsidR="00DB2D0E">
        <w:rPr>
          <w:sz w:val="22"/>
        </w:rPr>
        <w:t xml:space="preserve">in crescita anche il valore delle esportazioni del +24,8% rispetto al 2019, grazie anche al </w:t>
      </w:r>
      <w:proofErr w:type="spellStart"/>
      <w:r w:rsidR="00DB2D0E" w:rsidRPr="00B149F5">
        <w:rPr>
          <w:i/>
          <w:iCs/>
          <w:sz w:val="22"/>
        </w:rPr>
        <w:t>boost</w:t>
      </w:r>
      <w:proofErr w:type="spellEnd"/>
      <w:r w:rsidR="00DB2D0E">
        <w:rPr>
          <w:sz w:val="22"/>
        </w:rPr>
        <w:t xml:space="preserve"> della doppia transizione digitale e verde.</w:t>
      </w:r>
    </w:p>
    <w:p w14:paraId="7C43BC95" w14:textId="77777777" w:rsidR="00126E93" w:rsidRDefault="00126E93" w:rsidP="00DF4C9B">
      <w:pPr>
        <w:tabs>
          <w:tab w:val="left" w:pos="9639"/>
        </w:tabs>
        <w:ind w:right="-1"/>
        <w:jc w:val="both"/>
        <w:rPr>
          <w:sz w:val="22"/>
        </w:rPr>
      </w:pPr>
    </w:p>
    <w:bookmarkEnd w:id="3"/>
    <w:p w14:paraId="368B8011" w14:textId="0CBCCC13" w:rsidR="00126E93" w:rsidRDefault="00126E93" w:rsidP="00126E93">
      <w:pPr>
        <w:tabs>
          <w:tab w:val="left" w:pos="9639"/>
        </w:tabs>
        <w:ind w:right="-1"/>
        <w:jc w:val="both"/>
        <w:rPr>
          <w:bCs/>
          <w:sz w:val="22"/>
        </w:rPr>
      </w:pPr>
      <w:r>
        <w:rPr>
          <w:sz w:val="22"/>
        </w:rPr>
        <w:t xml:space="preserve">È quanto emerge dall’Osservatorio Export 2023 </w:t>
      </w:r>
      <w:r w:rsidRPr="005360CF">
        <w:rPr>
          <w:i/>
          <w:iCs/>
          <w:sz w:val="22"/>
        </w:rPr>
        <w:t>“Le impres</w:t>
      </w:r>
      <w:r>
        <w:rPr>
          <w:i/>
          <w:iCs/>
          <w:sz w:val="22"/>
        </w:rPr>
        <w:t xml:space="preserve">e del Veneto Est </w:t>
      </w:r>
      <w:r w:rsidRPr="005360CF">
        <w:rPr>
          <w:i/>
          <w:iCs/>
          <w:sz w:val="22"/>
        </w:rPr>
        <w:t>tr</w:t>
      </w:r>
      <w:r w:rsidRPr="00505163">
        <w:rPr>
          <w:i/>
          <w:iCs/>
          <w:sz w:val="22"/>
        </w:rPr>
        <w:t>a transizioni gemelle e internazionalizzazione”</w:t>
      </w:r>
      <w:r>
        <w:rPr>
          <w:sz w:val="22"/>
        </w:rPr>
        <w:t xml:space="preserve"> di </w:t>
      </w:r>
      <w:r w:rsidRPr="00F4497C">
        <w:rPr>
          <w:b/>
          <w:bCs/>
          <w:sz w:val="22"/>
        </w:rPr>
        <w:t>Confindustria Veneto Es</w:t>
      </w:r>
      <w:r>
        <w:rPr>
          <w:sz w:val="22"/>
        </w:rPr>
        <w:t xml:space="preserve">t in collaborazione con </w:t>
      </w:r>
      <w:r w:rsidRPr="00F4497C">
        <w:rPr>
          <w:b/>
          <w:bCs/>
          <w:sz w:val="22"/>
        </w:rPr>
        <w:t>SACE</w:t>
      </w:r>
      <w:r>
        <w:rPr>
          <w:sz w:val="22"/>
        </w:rPr>
        <w:t xml:space="preserve"> e </w:t>
      </w:r>
      <w:r w:rsidRPr="00F4497C">
        <w:rPr>
          <w:b/>
          <w:bCs/>
          <w:sz w:val="22"/>
        </w:rPr>
        <w:t>Fondazione Nord Est</w:t>
      </w:r>
      <w:r>
        <w:rPr>
          <w:sz w:val="22"/>
        </w:rPr>
        <w:t>, realizzato su un campione di 649 imprese manifatturiere delle province di Padova, Treviso, Venezia e Rovigo che rappresentano quasi metà d</w:t>
      </w:r>
      <w:r w:rsidR="00DF3164">
        <w:rPr>
          <w:sz w:val="22"/>
        </w:rPr>
        <w:t xml:space="preserve">ell’export regionale </w:t>
      </w:r>
      <w:r w:rsidRPr="00505163">
        <w:rPr>
          <w:bCs/>
          <w:sz w:val="22"/>
        </w:rPr>
        <w:t>(</w:t>
      </w:r>
      <w:r>
        <w:rPr>
          <w:bCs/>
          <w:sz w:val="22"/>
        </w:rPr>
        <w:t>38,4 miliardi di euro nel 2022</w:t>
      </w:r>
      <w:r w:rsidRPr="00505163">
        <w:rPr>
          <w:bCs/>
          <w:sz w:val="22"/>
        </w:rPr>
        <w:t>)</w:t>
      </w:r>
      <w:r w:rsidR="00C843C5">
        <w:rPr>
          <w:bCs/>
          <w:sz w:val="22"/>
        </w:rPr>
        <w:t>. L’indagine rileva le modalità di internazionalizzazione delle imprese, le aree geografiche e i Paesi target per il 2024, la rimodulazione delle catene globali del valore, la relazione t</w:t>
      </w:r>
      <w:r w:rsidR="00E54CB6">
        <w:rPr>
          <w:bCs/>
          <w:sz w:val="22"/>
        </w:rPr>
        <w:t xml:space="preserve">ra </w:t>
      </w:r>
      <w:r w:rsidR="00E54CB6" w:rsidRPr="00E54CB6">
        <w:rPr>
          <w:b/>
          <w:sz w:val="22"/>
        </w:rPr>
        <w:t xml:space="preserve">processi di </w:t>
      </w:r>
      <w:r w:rsidR="00C843C5" w:rsidRPr="00E54CB6">
        <w:rPr>
          <w:b/>
          <w:sz w:val="22"/>
        </w:rPr>
        <w:t>internazionalizzazione, transizione digitale e sostenibilità ambientale</w:t>
      </w:r>
      <w:r w:rsidR="00C843C5">
        <w:rPr>
          <w:bCs/>
          <w:sz w:val="22"/>
        </w:rPr>
        <w:t>.</w:t>
      </w:r>
    </w:p>
    <w:p w14:paraId="20BCDD53" w14:textId="77777777" w:rsidR="00126E93" w:rsidRDefault="00126E93" w:rsidP="00126E93">
      <w:pPr>
        <w:tabs>
          <w:tab w:val="left" w:pos="9639"/>
        </w:tabs>
        <w:ind w:right="-1"/>
        <w:jc w:val="both"/>
        <w:rPr>
          <w:bCs/>
          <w:sz w:val="22"/>
        </w:rPr>
      </w:pPr>
    </w:p>
    <w:p w14:paraId="08838821" w14:textId="458DEE77" w:rsidR="00126E93" w:rsidRDefault="00126E93" w:rsidP="00126E93">
      <w:pPr>
        <w:tabs>
          <w:tab w:val="left" w:pos="9639"/>
        </w:tabs>
        <w:ind w:right="-1"/>
        <w:jc w:val="both"/>
        <w:rPr>
          <w:bCs/>
          <w:sz w:val="22"/>
        </w:rPr>
      </w:pPr>
      <w:r>
        <w:rPr>
          <w:bCs/>
          <w:sz w:val="22"/>
        </w:rPr>
        <w:t xml:space="preserve">L’evento di presentazione si è svolto oggi a Palazzo Giacomelli a Treviso. Sono intervenuti la Consigliere Delegata per l’Internazionalizzazione di Confindustria Veneto Est </w:t>
      </w:r>
      <w:r w:rsidRPr="0059121E">
        <w:rPr>
          <w:b/>
          <w:sz w:val="22"/>
        </w:rPr>
        <w:t>Alessandra Polin</w:t>
      </w:r>
      <w:r>
        <w:rPr>
          <w:bCs/>
          <w:sz w:val="22"/>
        </w:rPr>
        <w:t xml:space="preserve"> e il Direttore Generale </w:t>
      </w:r>
      <w:r w:rsidRPr="00151A4C">
        <w:rPr>
          <w:b/>
          <w:sz w:val="22"/>
        </w:rPr>
        <w:t>Gianmarco Russo</w:t>
      </w:r>
      <w:r>
        <w:rPr>
          <w:bCs/>
          <w:sz w:val="22"/>
        </w:rPr>
        <w:t xml:space="preserve">, il </w:t>
      </w:r>
      <w:r w:rsidRPr="0059121E">
        <w:rPr>
          <w:bCs/>
          <w:sz w:val="22"/>
        </w:rPr>
        <w:t xml:space="preserve">Responsabile Scenari Economici Ufficio Studi SACE </w:t>
      </w:r>
      <w:r w:rsidRPr="0059121E">
        <w:rPr>
          <w:b/>
          <w:sz w:val="22"/>
        </w:rPr>
        <w:t>Ivano Gioia</w:t>
      </w:r>
      <w:r w:rsidRPr="0059121E">
        <w:rPr>
          <w:bCs/>
          <w:sz w:val="22"/>
        </w:rPr>
        <w:t xml:space="preserve">, il Ricercatore Senior Fondazione Nord Est </w:t>
      </w:r>
      <w:r w:rsidRPr="0059121E">
        <w:rPr>
          <w:b/>
          <w:sz w:val="22"/>
        </w:rPr>
        <w:t>Gianluca Toschi</w:t>
      </w:r>
      <w:r w:rsidRPr="0059121E">
        <w:rPr>
          <w:bCs/>
          <w:sz w:val="22"/>
        </w:rPr>
        <w:t>,</w:t>
      </w:r>
      <w:r>
        <w:rPr>
          <w:bCs/>
          <w:sz w:val="22"/>
        </w:rPr>
        <w:t xml:space="preserve"> </w:t>
      </w:r>
      <w:r w:rsidRPr="003C6086">
        <w:rPr>
          <w:bCs/>
          <w:sz w:val="22"/>
        </w:rPr>
        <w:t xml:space="preserve">il Presidente La Marca Vini e Spumanti </w:t>
      </w:r>
      <w:proofErr w:type="spellStart"/>
      <w:r w:rsidRPr="003C6086">
        <w:rPr>
          <w:bCs/>
          <w:sz w:val="22"/>
        </w:rPr>
        <w:t>Sca</w:t>
      </w:r>
      <w:proofErr w:type="spellEnd"/>
      <w:r w:rsidRPr="003C6086">
        <w:rPr>
          <w:bCs/>
          <w:sz w:val="22"/>
        </w:rPr>
        <w:t xml:space="preserve"> </w:t>
      </w:r>
      <w:r w:rsidRPr="003C6086">
        <w:rPr>
          <w:b/>
          <w:bCs/>
          <w:sz w:val="22"/>
        </w:rPr>
        <w:t>Claudio Venturin</w:t>
      </w:r>
      <w:r>
        <w:rPr>
          <w:bCs/>
          <w:sz w:val="22"/>
        </w:rPr>
        <w:t xml:space="preserve">, </w:t>
      </w:r>
      <w:r w:rsidRPr="0059121E">
        <w:rPr>
          <w:bCs/>
          <w:sz w:val="22"/>
        </w:rPr>
        <w:t>i</w:t>
      </w:r>
      <w:r>
        <w:rPr>
          <w:bCs/>
          <w:sz w:val="22"/>
        </w:rPr>
        <w:t xml:space="preserve">l COO e </w:t>
      </w:r>
      <w:proofErr w:type="spellStart"/>
      <w:r>
        <w:rPr>
          <w:bCs/>
          <w:sz w:val="22"/>
        </w:rPr>
        <w:t>Sustainability</w:t>
      </w:r>
      <w:proofErr w:type="spellEnd"/>
      <w:r>
        <w:rPr>
          <w:bCs/>
          <w:sz w:val="22"/>
        </w:rPr>
        <w:t xml:space="preserve"> Manager Panta Rei </w:t>
      </w:r>
      <w:proofErr w:type="spellStart"/>
      <w:r>
        <w:rPr>
          <w:bCs/>
          <w:sz w:val="22"/>
        </w:rPr>
        <w:t>Srl</w:t>
      </w:r>
      <w:proofErr w:type="spellEnd"/>
      <w:r>
        <w:rPr>
          <w:bCs/>
          <w:sz w:val="22"/>
        </w:rPr>
        <w:t xml:space="preserve"> </w:t>
      </w:r>
      <w:r w:rsidRPr="00BF10EE">
        <w:rPr>
          <w:b/>
          <w:sz w:val="22"/>
        </w:rPr>
        <w:t>Giovanni Manti</w:t>
      </w:r>
      <w:r>
        <w:rPr>
          <w:bCs/>
          <w:sz w:val="22"/>
        </w:rPr>
        <w:t xml:space="preserve">, </w:t>
      </w:r>
      <w:r w:rsidRPr="00BF10EE">
        <w:rPr>
          <w:b/>
          <w:sz w:val="22"/>
        </w:rPr>
        <w:t>Mirko Longo</w:t>
      </w:r>
      <w:r>
        <w:rPr>
          <w:bCs/>
          <w:sz w:val="22"/>
        </w:rPr>
        <w:t xml:space="preserve"> Head of Sales </w:t>
      </w:r>
      <w:proofErr w:type="spellStart"/>
      <w:r>
        <w:rPr>
          <w:bCs/>
          <w:sz w:val="22"/>
        </w:rPr>
        <w:t>Xilia</w:t>
      </w:r>
      <w:proofErr w:type="spellEnd"/>
      <w:r>
        <w:rPr>
          <w:bCs/>
          <w:sz w:val="22"/>
        </w:rPr>
        <w:t xml:space="preserve"> </w:t>
      </w:r>
      <w:proofErr w:type="spellStart"/>
      <w:r>
        <w:rPr>
          <w:bCs/>
          <w:sz w:val="22"/>
        </w:rPr>
        <w:t>Srl</w:t>
      </w:r>
      <w:proofErr w:type="spellEnd"/>
      <w:r>
        <w:rPr>
          <w:bCs/>
          <w:sz w:val="22"/>
        </w:rPr>
        <w:t>. L’evento è stato moderato dalla giornalist</w:t>
      </w:r>
      <w:r w:rsidR="00E86B6C">
        <w:rPr>
          <w:bCs/>
          <w:sz w:val="22"/>
        </w:rPr>
        <w:t xml:space="preserve">a economica </w:t>
      </w:r>
      <w:r w:rsidRPr="0059121E">
        <w:rPr>
          <w:b/>
          <w:sz w:val="22"/>
        </w:rPr>
        <w:t>Katy Mandurino</w:t>
      </w:r>
      <w:r w:rsidRPr="0059121E">
        <w:rPr>
          <w:bCs/>
          <w:sz w:val="22"/>
        </w:rPr>
        <w:t>.</w:t>
      </w:r>
    </w:p>
    <w:p w14:paraId="0CDA6933" w14:textId="77777777" w:rsidR="00126E93" w:rsidRDefault="00126E93" w:rsidP="00DF4C9B">
      <w:pPr>
        <w:tabs>
          <w:tab w:val="left" w:pos="9639"/>
        </w:tabs>
        <w:ind w:right="-1"/>
        <w:jc w:val="both"/>
        <w:rPr>
          <w:sz w:val="22"/>
        </w:rPr>
      </w:pPr>
    </w:p>
    <w:p w14:paraId="25EAB5FC" w14:textId="6661CC56" w:rsidR="00126E93" w:rsidRPr="00A46C2E" w:rsidRDefault="00126E93" w:rsidP="00126E93">
      <w:pPr>
        <w:tabs>
          <w:tab w:val="left" w:pos="9639"/>
        </w:tabs>
        <w:ind w:right="-1"/>
        <w:jc w:val="both"/>
        <w:rPr>
          <w:bCs/>
          <w:sz w:val="22"/>
        </w:rPr>
      </w:pPr>
      <w:r w:rsidRPr="00A46C2E">
        <w:rPr>
          <w:bCs/>
          <w:i/>
          <w:iCs/>
          <w:sz w:val="22"/>
        </w:rPr>
        <w:t>«</w:t>
      </w:r>
      <w:r>
        <w:rPr>
          <w:bCs/>
          <w:i/>
          <w:iCs/>
          <w:sz w:val="22"/>
        </w:rPr>
        <w:t>L’</w:t>
      </w:r>
      <w:r w:rsidR="00DF3164">
        <w:rPr>
          <w:bCs/>
          <w:i/>
          <w:iCs/>
          <w:sz w:val="22"/>
        </w:rPr>
        <w:t xml:space="preserve">internazionalizzazione nelle sue diverse forme, </w:t>
      </w:r>
      <w:r>
        <w:rPr>
          <w:bCs/>
          <w:i/>
          <w:iCs/>
          <w:sz w:val="22"/>
        </w:rPr>
        <w:t xml:space="preserve">come emerge dall’Osservatorio, rimane un elemento imprescindibile di crescita per il nostro sistema produttivo </w:t>
      </w:r>
      <w:r w:rsidRPr="00A46C2E">
        <w:rPr>
          <w:bCs/>
          <w:sz w:val="22"/>
        </w:rPr>
        <w:t xml:space="preserve">- dichiara </w:t>
      </w:r>
      <w:r w:rsidRPr="00A46C2E">
        <w:rPr>
          <w:b/>
          <w:bCs/>
          <w:sz w:val="22"/>
        </w:rPr>
        <w:t>Alessandra Polin, Consigliere Delegat</w:t>
      </w:r>
      <w:r>
        <w:rPr>
          <w:b/>
          <w:bCs/>
          <w:sz w:val="22"/>
        </w:rPr>
        <w:t xml:space="preserve">a </w:t>
      </w:r>
      <w:r w:rsidRPr="00A46C2E">
        <w:rPr>
          <w:b/>
          <w:bCs/>
          <w:sz w:val="22"/>
        </w:rPr>
        <w:t>Confindustria Veneto Est per l’Internazionalizzazione</w:t>
      </w:r>
      <w:r w:rsidRPr="00A46C2E">
        <w:rPr>
          <w:bCs/>
          <w:sz w:val="22"/>
        </w:rPr>
        <w:t xml:space="preserve"> -</w:t>
      </w:r>
      <w:r w:rsidR="00E54CB6">
        <w:rPr>
          <w:bCs/>
          <w:sz w:val="22"/>
        </w:rPr>
        <w:t xml:space="preserve"> </w:t>
      </w:r>
      <w:r>
        <w:rPr>
          <w:bCs/>
          <w:i/>
          <w:iCs/>
          <w:sz w:val="22"/>
        </w:rPr>
        <w:t>pur in un ann</w:t>
      </w:r>
      <w:r w:rsidR="00346A06">
        <w:rPr>
          <w:bCs/>
          <w:i/>
          <w:iCs/>
          <w:sz w:val="22"/>
        </w:rPr>
        <w:t xml:space="preserve">o ancora di incertezze e nuovi rischi per i flussi commerciali, </w:t>
      </w:r>
      <w:r>
        <w:rPr>
          <w:bCs/>
          <w:i/>
          <w:iCs/>
          <w:sz w:val="22"/>
        </w:rPr>
        <w:t>dovuti alla forte riduzione dei transiti nel canale di Suez, con un impatto fortissimo su tempi e costi dei container cresciuti del 350% rispetto al 2020</w:t>
      </w:r>
      <w:r w:rsidRPr="00A46C2E">
        <w:rPr>
          <w:bCs/>
          <w:i/>
          <w:iCs/>
          <w:sz w:val="22"/>
        </w:rPr>
        <w:t>.</w:t>
      </w:r>
      <w:r>
        <w:rPr>
          <w:bCs/>
          <w:i/>
          <w:iCs/>
          <w:sz w:val="22"/>
        </w:rPr>
        <w:t xml:space="preserve"> Le nostre imprese hanno grande capacità di reazione e adattamento ai mutamenti, come conferma l’elevato numer</w:t>
      </w:r>
      <w:r w:rsidR="00B06B85">
        <w:rPr>
          <w:bCs/>
          <w:i/>
          <w:iCs/>
          <w:sz w:val="22"/>
        </w:rPr>
        <w:t>o di impres</w:t>
      </w:r>
      <w:r w:rsidR="00E86B6C">
        <w:rPr>
          <w:bCs/>
          <w:i/>
          <w:iCs/>
          <w:sz w:val="22"/>
        </w:rPr>
        <w:t xml:space="preserve">e che hanno </w:t>
      </w:r>
      <w:r>
        <w:rPr>
          <w:bCs/>
          <w:i/>
          <w:iCs/>
          <w:sz w:val="22"/>
        </w:rPr>
        <w:t>rimodulato e accorciato le catene di fornitur</w:t>
      </w:r>
      <w:r w:rsidR="00E86B6C">
        <w:rPr>
          <w:bCs/>
          <w:i/>
          <w:iCs/>
          <w:sz w:val="22"/>
        </w:rPr>
        <w:t xml:space="preserve">a o guardano </w:t>
      </w:r>
      <w:r>
        <w:rPr>
          <w:bCs/>
          <w:i/>
          <w:iCs/>
          <w:sz w:val="22"/>
        </w:rPr>
        <w:t>a nuovi Paesi. Nonostante gli shock degli ultimi a</w:t>
      </w:r>
      <w:r w:rsidR="00B06B85">
        <w:rPr>
          <w:bCs/>
          <w:i/>
          <w:iCs/>
          <w:sz w:val="22"/>
        </w:rPr>
        <w:t xml:space="preserve">nni, le aziende hanno </w:t>
      </w:r>
      <w:r>
        <w:rPr>
          <w:bCs/>
          <w:i/>
          <w:iCs/>
          <w:sz w:val="22"/>
        </w:rPr>
        <w:t xml:space="preserve">profuso un grande sforzo e investimenti tesi a innovare in tecnologie digitali e </w:t>
      </w:r>
      <w:proofErr w:type="gramStart"/>
      <w:r>
        <w:rPr>
          <w:bCs/>
          <w:i/>
          <w:iCs/>
          <w:sz w:val="22"/>
        </w:rPr>
        <w:t>ad</w:t>
      </w:r>
      <w:proofErr w:type="gramEnd"/>
      <w:r>
        <w:rPr>
          <w:bCs/>
          <w:i/>
          <w:iCs/>
          <w:sz w:val="22"/>
        </w:rPr>
        <w:t xml:space="preserve"> adottare azioni di sostenibilità (riduzione emissioni, maggior controllo etico-sociale sulle produzioni) per essere più competitive sui mercati globali. Salvaguardare e potenziare la loro presenza internazionale è una priorità assoluta: occorre una politica industriale nazionale ed europea capac</w:t>
      </w:r>
      <w:r w:rsidR="00CA745A">
        <w:rPr>
          <w:bCs/>
          <w:i/>
          <w:iCs/>
          <w:sz w:val="22"/>
        </w:rPr>
        <w:t xml:space="preserve">e di far emergere, </w:t>
      </w:r>
      <w:r>
        <w:rPr>
          <w:bCs/>
          <w:i/>
          <w:iCs/>
          <w:sz w:val="22"/>
        </w:rPr>
        <w:t>ulteriormente, le enormi potenzialità delle nostre imprese, sostenendole nell’affrontare le sfid</w:t>
      </w:r>
      <w:r w:rsidR="00E54CB6">
        <w:rPr>
          <w:bCs/>
          <w:i/>
          <w:iCs/>
          <w:sz w:val="22"/>
        </w:rPr>
        <w:t xml:space="preserve">e e le opportunità </w:t>
      </w:r>
      <w:r>
        <w:rPr>
          <w:bCs/>
          <w:i/>
          <w:iCs/>
          <w:sz w:val="22"/>
        </w:rPr>
        <w:t>della transi</w:t>
      </w:r>
      <w:r w:rsidR="00CA745A">
        <w:rPr>
          <w:bCs/>
          <w:i/>
          <w:iCs/>
          <w:sz w:val="22"/>
        </w:rPr>
        <w:t xml:space="preserve">zione ecologica e digitale. </w:t>
      </w:r>
      <w:r>
        <w:rPr>
          <w:bCs/>
          <w:i/>
          <w:iCs/>
          <w:sz w:val="22"/>
        </w:rPr>
        <w:t>E occorrono strategie di attrazione degli investimenti, aumentando l’attrattività del territorio e la competitività delle imprese, in modo da favorire sia nuovi investi</w:t>
      </w:r>
      <w:r w:rsidR="00B32C5B">
        <w:rPr>
          <w:bCs/>
          <w:i/>
          <w:iCs/>
          <w:sz w:val="22"/>
        </w:rPr>
        <w:t xml:space="preserve">menti in Italia e in Veneto, </w:t>
      </w:r>
      <w:r>
        <w:rPr>
          <w:bCs/>
          <w:i/>
          <w:iCs/>
          <w:sz w:val="22"/>
        </w:rPr>
        <w:t xml:space="preserve">sia il </w:t>
      </w:r>
      <w:proofErr w:type="spellStart"/>
      <w:r>
        <w:rPr>
          <w:bCs/>
          <w:i/>
          <w:iCs/>
          <w:sz w:val="22"/>
        </w:rPr>
        <w:t>reshoring</w:t>
      </w:r>
      <w:proofErr w:type="spellEnd"/>
      <w:r>
        <w:rPr>
          <w:bCs/>
          <w:i/>
          <w:iCs/>
          <w:sz w:val="22"/>
        </w:rPr>
        <w:t xml:space="preserve"> di attività strategiche e a più alto valore aggiunto</w:t>
      </w:r>
      <w:r w:rsidRPr="00A46C2E">
        <w:rPr>
          <w:bCs/>
          <w:i/>
          <w:iCs/>
          <w:sz w:val="22"/>
        </w:rPr>
        <w:t>»</w:t>
      </w:r>
      <w:r w:rsidRPr="00A46C2E">
        <w:rPr>
          <w:bCs/>
          <w:sz w:val="22"/>
        </w:rPr>
        <w:t>.</w:t>
      </w:r>
    </w:p>
    <w:p w14:paraId="01DBA118" w14:textId="77777777" w:rsidR="00126E93" w:rsidRDefault="00126E93" w:rsidP="00DF4C9B">
      <w:pPr>
        <w:tabs>
          <w:tab w:val="left" w:pos="9639"/>
        </w:tabs>
        <w:ind w:right="-1"/>
        <w:jc w:val="both"/>
        <w:rPr>
          <w:sz w:val="22"/>
        </w:rPr>
      </w:pPr>
    </w:p>
    <w:p w14:paraId="46447C7F" w14:textId="77F4EDF6" w:rsidR="00CC3E59" w:rsidRDefault="00CC3E59" w:rsidP="00CC3E59">
      <w:pPr>
        <w:tabs>
          <w:tab w:val="left" w:pos="9639"/>
        </w:tabs>
        <w:ind w:right="-1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Nel corso dell’evento è stato assegnato il </w:t>
      </w:r>
      <w:r w:rsidRPr="00CC3E59">
        <w:rPr>
          <w:b/>
          <w:sz w:val="22"/>
          <w:szCs w:val="22"/>
        </w:rPr>
        <w:t xml:space="preserve">Premio </w:t>
      </w:r>
      <w:proofErr w:type="spellStart"/>
      <w:r w:rsidRPr="00CC3E59">
        <w:rPr>
          <w:b/>
          <w:sz w:val="22"/>
          <w:szCs w:val="22"/>
        </w:rPr>
        <w:t>Exporter</w:t>
      </w:r>
      <w:proofErr w:type="spellEnd"/>
      <w:r w:rsidRPr="00CC3E59">
        <w:rPr>
          <w:b/>
          <w:sz w:val="22"/>
          <w:szCs w:val="22"/>
        </w:rPr>
        <w:t xml:space="preserve"> of the </w:t>
      </w:r>
      <w:proofErr w:type="spellStart"/>
      <w:r w:rsidRPr="00CC3E59">
        <w:rPr>
          <w:b/>
          <w:sz w:val="22"/>
          <w:szCs w:val="22"/>
        </w:rPr>
        <w:t>Year</w:t>
      </w:r>
      <w:proofErr w:type="spellEnd"/>
      <w:r w:rsidRPr="00CC3E59">
        <w:rPr>
          <w:b/>
          <w:sz w:val="22"/>
          <w:szCs w:val="22"/>
        </w:rPr>
        <w:t xml:space="preserve"> 2023</w:t>
      </w:r>
      <w:r>
        <w:rPr>
          <w:bCs/>
          <w:i/>
          <w:iCs/>
          <w:sz w:val="22"/>
          <w:szCs w:val="22"/>
        </w:rPr>
        <w:t xml:space="preserve"> </w:t>
      </w:r>
      <w:r>
        <w:rPr>
          <w:bCs/>
          <w:sz w:val="22"/>
          <w:szCs w:val="22"/>
        </w:rPr>
        <w:t>riservato ad aziende partecipanti alla ricerca che si sono distinte</w:t>
      </w:r>
      <w:r w:rsidR="00C32145">
        <w:rPr>
          <w:bCs/>
          <w:sz w:val="22"/>
          <w:szCs w:val="22"/>
        </w:rPr>
        <w:t xml:space="preserve"> per </w:t>
      </w:r>
      <w:r w:rsidR="00C32145">
        <w:rPr>
          <w:bCs/>
          <w:sz w:val="22"/>
          <w:szCs w:val="22"/>
        </w:rPr>
        <w:t>la performance sui mercati internazional</w:t>
      </w:r>
      <w:r w:rsidR="00C32145">
        <w:rPr>
          <w:bCs/>
          <w:sz w:val="22"/>
          <w:szCs w:val="22"/>
        </w:rPr>
        <w:t xml:space="preserve">i (in base a un indice calcolato sulla differenza tra il fatturato estero 2022 e quello 2019, rapportato alla media dei ricavi complessivi nei due esercizi). </w:t>
      </w:r>
      <w:r>
        <w:rPr>
          <w:bCs/>
          <w:sz w:val="22"/>
          <w:szCs w:val="22"/>
        </w:rPr>
        <w:t xml:space="preserve">Per la categoria </w:t>
      </w:r>
      <w:r w:rsidRPr="002D46FA">
        <w:rPr>
          <w:bCs/>
          <w:i/>
          <w:iCs/>
          <w:sz w:val="22"/>
          <w:szCs w:val="22"/>
        </w:rPr>
        <w:t>Grandi Imprese</w:t>
      </w:r>
      <w:r>
        <w:rPr>
          <w:bCs/>
          <w:sz w:val="22"/>
          <w:szCs w:val="22"/>
        </w:rPr>
        <w:t xml:space="preserve"> ha vinto </w:t>
      </w:r>
      <w:r>
        <w:rPr>
          <w:b/>
          <w:sz w:val="22"/>
          <w:szCs w:val="22"/>
        </w:rPr>
        <w:t xml:space="preserve">La Marca Vini e Spumanti </w:t>
      </w:r>
      <w:proofErr w:type="spellStart"/>
      <w:r>
        <w:rPr>
          <w:b/>
          <w:sz w:val="22"/>
          <w:szCs w:val="22"/>
        </w:rPr>
        <w:t>S.c.a</w:t>
      </w:r>
      <w:proofErr w:type="spellEnd"/>
      <w:r>
        <w:rPr>
          <w:b/>
          <w:sz w:val="22"/>
          <w:szCs w:val="22"/>
        </w:rPr>
        <w:t>.</w:t>
      </w:r>
      <w:r>
        <w:rPr>
          <w:bCs/>
          <w:sz w:val="22"/>
          <w:szCs w:val="22"/>
        </w:rPr>
        <w:t xml:space="preserve">; per la categoria </w:t>
      </w:r>
      <w:r w:rsidRPr="002D46FA">
        <w:rPr>
          <w:bCs/>
          <w:i/>
          <w:iCs/>
          <w:sz w:val="22"/>
          <w:szCs w:val="22"/>
        </w:rPr>
        <w:t>Piccole e Medie Imprese</w:t>
      </w:r>
      <w:r>
        <w:rPr>
          <w:bCs/>
          <w:sz w:val="22"/>
          <w:szCs w:val="22"/>
        </w:rPr>
        <w:t xml:space="preserve"> premio a </w:t>
      </w:r>
      <w:r>
        <w:rPr>
          <w:b/>
          <w:sz w:val="22"/>
          <w:szCs w:val="22"/>
        </w:rPr>
        <w:t xml:space="preserve">Panta Rei </w:t>
      </w:r>
      <w:proofErr w:type="spellStart"/>
      <w:r>
        <w:rPr>
          <w:b/>
          <w:sz w:val="22"/>
          <w:szCs w:val="22"/>
        </w:rPr>
        <w:t>Srl</w:t>
      </w:r>
      <w:proofErr w:type="spellEnd"/>
      <w:r>
        <w:rPr>
          <w:bCs/>
          <w:sz w:val="22"/>
          <w:szCs w:val="22"/>
        </w:rPr>
        <w:t xml:space="preserve">; nella categoria </w:t>
      </w:r>
      <w:proofErr w:type="spellStart"/>
      <w:r w:rsidRPr="002D46FA">
        <w:rPr>
          <w:bCs/>
          <w:i/>
          <w:iCs/>
          <w:sz w:val="22"/>
          <w:szCs w:val="22"/>
        </w:rPr>
        <w:t>Beginners</w:t>
      </w:r>
      <w:proofErr w:type="spellEnd"/>
      <w:r>
        <w:rPr>
          <w:bCs/>
          <w:sz w:val="22"/>
          <w:szCs w:val="22"/>
        </w:rPr>
        <w:t xml:space="preserve"> (aziende con esperienza più recente sui mercati esteri) ha vinto </w:t>
      </w:r>
      <w:proofErr w:type="spellStart"/>
      <w:r w:rsidRPr="002D46FA">
        <w:rPr>
          <w:b/>
          <w:sz w:val="22"/>
          <w:szCs w:val="22"/>
        </w:rPr>
        <w:t>Xilia</w:t>
      </w:r>
      <w:proofErr w:type="spellEnd"/>
      <w:r w:rsidRPr="002D46FA">
        <w:rPr>
          <w:b/>
          <w:sz w:val="22"/>
          <w:szCs w:val="22"/>
        </w:rPr>
        <w:t xml:space="preserve"> </w:t>
      </w:r>
      <w:proofErr w:type="spellStart"/>
      <w:r w:rsidRPr="002D46FA">
        <w:rPr>
          <w:b/>
          <w:sz w:val="22"/>
          <w:szCs w:val="22"/>
        </w:rPr>
        <w:t>Srl</w:t>
      </w:r>
      <w:proofErr w:type="spellEnd"/>
      <w:r>
        <w:rPr>
          <w:bCs/>
          <w:sz w:val="22"/>
          <w:szCs w:val="22"/>
        </w:rPr>
        <w:t>.</w:t>
      </w:r>
    </w:p>
    <w:p w14:paraId="233C8B11" w14:textId="77777777" w:rsidR="00CC3E59" w:rsidRDefault="00CC3E59" w:rsidP="00126E93">
      <w:pPr>
        <w:tabs>
          <w:tab w:val="left" w:pos="9639"/>
        </w:tabs>
        <w:ind w:right="-1"/>
        <w:jc w:val="both"/>
        <w:rPr>
          <w:bCs/>
          <w:sz w:val="22"/>
          <w:szCs w:val="22"/>
        </w:rPr>
      </w:pPr>
    </w:p>
    <w:p w14:paraId="531F3236" w14:textId="3E043AEF" w:rsidR="00126E93" w:rsidRDefault="00126E93" w:rsidP="00126E93">
      <w:pPr>
        <w:tabs>
          <w:tab w:val="left" w:pos="9639"/>
        </w:tabs>
        <w:ind w:right="-1"/>
        <w:jc w:val="both"/>
        <w:rPr>
          <w:b/>
          <w:sz w:val="22"/>
          <w:szCs w:val="22"/>
        </w:rPr>
      </w:pPr>
      <w:r w:rsidRPr="00CB7406">
        <w:rPr>
          <w:bCs/>
          <w:sz w:val="22"/>
          <w:szCs w:val="22"/>
        </w:rPr>
        <w:t xml:space="preserve">I principali risultati dell’Indagine </w:t>
      </w:r>
      <w:r w:rsidRPr="007F776B">
        <w:rPr>
          <w:b/>
          <w:sz w:val="22"/>
          <w:szCs w:val="22"/>
        </w:rPr>
        <w:t>Osservatorio</w:t>
      </w:r>
      <w:r w:rsidRPr="00966DBD">
        <w:rPr>
          <w:b/>
          <w:sz w:val="22"/>
          <w:szCs w:val="22"/>
        </w:rPr>
        <w:t xml:space="preserve"> E</w:t>
      </w:r>
      <w:r>
        <w:rPr>
          <w:b/>
          <w:sz w:val="22"/>
          <w:szCs w:val="22"/>
        </w:rPr>
        <w:t>xport 2023</w:t>
      </w:r>
    </w:p>
    <w:p w14:paraId="608747D3" w14:textId="77777777" w:rsidR="00126E93" w:rsidRDefault="00126E93" w:rsidP="00DF4C9B">
      <w:pPr>
        <w:tabs>
          <w:tab w:val="left" w:pos="9639"/>
        </w:tabs>
        <w:ind w:right="-1"/>
        <w:jc w:val="both"/>
        <w:rPr>
          <w:sz w:val="22"/>
        </w:rPr>
      </w:pPr>
    </w:p>
    <w:p w14:paraId="06CB1EEC" w14:textId="5AD9291C" w:rsidR="00B4314A" w:rsidRPr="00485D43" w:rsidRDefault="00B4314A" w:rsidP="00485D43">
      <w:pPr>
        <w:pStyle w:val="Paragrafoelenco"/>
        <w:numPr>
          <w:ilvl w:val="0"/>
          <w:numId w:val="4"/>
        </w:numPr>
        <w:tabs>
          <w:tab w:val="left" w:pos="9639"/>
        </w:tabs>
        <w:ind w:left="284" w:right="-1" w:hanging="284"/>
        <w:jc w:val="both"/>
        <w:rPr>
          <w:sz w:val="22"/>
        </w:rPr>
      </w:pPr>
      <w:r w:rsidRPr="00485D43">
        <w:rPr>
          <w:sz w:val="22"/>
        </w:rPr>
        <w:t xml:space="preserve">Dall’analisi delle </w:t>
      </w:r>
      <w:r w:rsidRPr="00485D43">
        <w:rPr>
          <w:b/>
          <w:bCs/>
          <w:sz w:val="22"/>
        </w:rPr>
        <w:t>strategie di internazionalizzazione</w:t>
      </w:r>
      <w:r w:rsidRPr="00485D43">
        <w:rPr>
          <w:sz w:val="22"/>
        </w:rPr>
        <w:t>, emergono quattro cluster di imprese:</w:t>
      </w:r>
    </w:p>
    <w:p w14:paraId="18882BE5" w14:textId="77777777" w:rsidR="000552E1" w:rsidRDefault="000552E1" w:rsidP="00DF4C9B">
      <w:pPr>
        <w:tabs>
          <w:tab w:val="left" w:pos="9639"/>
        </w:tabs>
        <w:ind w:right="-1"/>
        <w:jc w:val="both"/>
        <w:rPr>
          <w:sz w:val="22"/>
        </w:rPr>
      </w:pPr>
    </w:p>
    <w:p w14:paraId="62F30512" w14:textId="1EE548A3" w:rsidR="00B4314A" w:rsidRPr="00992EA7" w:rsidRDefault="00B4314A" w:rsidP="00992EA7">
      <w:pPr>
        <w:pStyle w:val="Paragrafoelenco"/>
        <w:numPr>
          <w:ilvl w:val="0"/>
          <w:numId w:val="3"/>
        </w:numPr>
        <w:tabs>
          <w:tab w:val="left" w:pos="9639"/>
        </w:tabs>
        <w:ind w:left="567" w:right="-1" w:hanging="283"/>
        <w:jc w:val="both"/>
        <w:rPr>
          <w:sz w:val="22"/>
        </w:rPr>
      </w:pPr>
      <w:r w:rsidRPr="00992EA7">
        <w:rPr>
          <w:i/>
          <w:iCs/>
          <w:sz w:val="22"/>
        </w:rPr>
        <w:t>Internazionalizzati a 360°</w:t>
      </w:r>
      <w:r w:rsidRPr="00992EA7">
        <w:rPr>
          <w:sz w:val="22"/>
        </w:rPr>
        <w:t xml:space="preserve"> (6% delle imprese totali)</w:t>
      </w:r>
      <w:r w:rsidR="00BE2689">
        <w:rPr>
          <w:sz w:val="22"/>
        </w:rPr>
        <w:t xml:space="preserve"> è </w:t>
      </w:r>
      <w:r w:rsidR="00B417E4">
        <w:rPr>
          <w:sz w:val="22"/>
        </w:rPr>
        <w:t>compost</w:t>
      </w:r>
      <w:r w:rsidR="00346A06">
        <w:rPr>
          <w:sz w:val="22"/>
        </w:rPr>
        <w:t xml:space="preserve">o da </w:t>
      </w:r>
      <w:r w:rsidRPr="00992EA7">
        <w:rPr>
          <w:sz w:val="22"/>
        </w:rPr>
        <w:t>imprese medio-grand</w:t>
      </w:r>
      <w:r w:rsidR="00B417E4">
        <w:rPr>
          <w:sz w:val="22"/>
        </w:rPr>
        <w:t>i (oltre metà</w:t>
      </w:r>
      <w:r w:rsidR="002758EE">
        <w:rPr>
          <w:sz w:val="22"/>
        </w:rPr>
        <w:t xml:space="preserve"> ha </w:t>
      </w:r>
      <w:r w:rsidR="00B417E4">
        <w:rPr>
          <w:sz w:val="22"/>
        </w:rPr>
        <w:t xml:space="preserve">ricavi superiori ai 50 milioni di euro) </w:t>
      </w:r>
      <w:r w:rsidRPr="00992EA7">
        <w:rPr>
          <w:sz w:val="22"/>
        </w:rPr>
        <w:t>che realizzano all’estero il 60,7% del fatturato (valore medio)</w:t>
      </w:r>
      <w:r w:rsidR="006F2A2B">
        <w:rPr>
          <w:sz w:val="22"/>
        </w:rPr>
        <w:t xml:space="preserve">, </w:t>
      </w:r>
      <w:r w:rsidRPr="00992EA7">
        <w:rPr>
          <w:sz w:val="22"/>
        </w:rPr>
        <w:t>di cui il 31% extra</w:t>
      </w:r>
      <w:r w:rsidR="00BE2689">
        <w:rPr>
          <w:sz w:val="22"/>
        </w:rPr>
        <w:t>-</w:t>
      </w:r>
      <w:r w:rsidRPr="00992EA7">
        <w:rPr>
          <w:sz w:val="22"/>
        </w:rPr>
        <w:t>U</w:t>
      </w:r>
      <w:r w:rsidR="00BE2689">
        <w:rPr>
          <w:sz w:val="22"/>
        </w:rPr>
        <w:t>e</w:t>
      </w:r>
      <w:r w:rsidRPr="00992EA7">
        <w:rPr>
          <w:sz w:val="22"/>
        </w:rPr>
        <w:t>,</w:t>
      </w:r>
      <w:r w:rsidR="006F2A2B">
        <w:rPr>
          <w:sz w:val="22"/>
        </w:rPr>
        <w:t xml:space="preserve"> e presentano forme più complesse di partecipa</w:t>
      </w:r>
      <w:r w:rsidR="00514AED">
        <w:rPr>
          <w:sz w:val="22"/>
        </w:rPr>
        <w:t xml:space="preserve">zione e presidio </w:t>
      </w:r>
      <w:r w:rsidR="006F2A2B">
        <w:rPr>
          <w:sz w:val="22"/>
        </w:rPr>
        <w:t xml:space="preserve">dei mercati esteri: non solo import (nel 51,3% dei </w:t>
      </w:r>
      <w:proofErr w:type="gramStart"/>
      <w:r w:rsidR="006F2A2B">
        <w:rPr>
          <w:sz w:val="22"/>
        </w:rPr>
        <w:t>casi)-</w:t>
      </w:r>
      <w:proofErr w:type="gramEnd"/>
      <w:r w:rsidR="006F2A2B">
        <w:rPr>
          <w:sz w:val="22"/>
        </w:rPr>
        <w:t>export, ma anche filiali, negozi, uffici commerciali o impianti di produzione situati all’estero (53,8%);</w:t>
      </w:r>
    </w:p>
    <w:p w14:paraId="702C19C3" w14:textId="4D9160AE" w:rsidR="00B4314A" w:rsidRDefault="00B4314A" w:rsidP="00992EA7">
      <w:pPr>
        <w:pStyle w:val="Paragrafoelenco"/>
        <w:numPr>
          <w:ilvl w:val="0"/>
          <w:numId w:val="3"/>
        </w:numPr>
        <w:tabs>
          <w:tab w:val="left" w:pos="9639"/>
        </w:tabs>
        <w:ind w:left="567" w:right="-1" w:hanging="284"/>
        <w:jc w:val="both"/>
        <w:rPr>
          <w:sz w:val="22"/>
        </w:rPr>
      </w:pPr>
      <w:r>
        <w:rPr>
          <w:i/>
          <w:iCs/>
          <w:sz w:val="22"/>
        </w:rPr>
        <w:t>Esportatori globali</w:t>
      </w:r>
      <w:r w:rsidRPr="00B4314A">
        <w:rPr>
          <w:sz w:val="22"/>
        </w:rPr>
        <w:t xml:space="preserve"> </w:t>
      </w:r>
      <w:r w:rsidR="006F2A2B">
        <w:rPr>
          <w:sz w:val="22"/>
        </w:rPr>
        <w:t xml:space="preserve">raggruppa tutte quelle imprese - una su tre, </w:t>
      </w:r>
      <w:r>
        <w:rPr>
          <w:sz w:val="22"/>
        </w:rPr>
        <w:t>32,4%</w:t>
      </w:r>
      <w:r w:rsidR="006F2A2B">
        <w:rPr>
          <w:sz w:val="22"/>
        </w:rPr>
        <w:t xml:space="preserve"> - </w:t>
      </w:r>
      <w:r>
        <w:rPr>
          <w:sz w:val="22"/>
        </w:rPr>
        <w:t>che realizzano all’estero una quota media di fatturato del 73,3% (44,9% nei Paesi U</w:t>
      </w:r>
      <w:r w:rsidR="00BE2689">
        <w:rPr>
          <w:sz w:val="22"/>
        </w:rPr>
        <w:t>e</w:t>
      </w:r>
      <w:r>
        <w:rPr>
          <w:sz w:val="22"/>
        </w:rPr>
        <w:t>)</w:t>
      </w:r>
      <w:r w:rsidR="00B417E4">
        <w:rPr>
          <w:sz w:val="22"/>
        </w:rPr>
        <w:t>,</w:t>
      </w:r>
      <w:r w:rsidR="007378D9">
        <w:rPr>
          <w:sz w:val="22"/>
        </w:rPr>
        <w:t xml:space="preserve"> </w:t>
      </w:r>
      <w:r w:rsidR="006F2A2B">
        <w:rPr>
          <w:sz w:val="22"/>
        </w:rPr>
        <w:t xml:space="preserve">operano continuativamente nei mercati internazionali, </w:t>
      </w:r>
      <w:r>
        <w:rPr>
          <w:sz w:val="22"/>
        </w:rPr>
        <w:t>ma la cui presen</w:t>
      </w:r>
      <w:r w:rsidR="006F2A2B">
        <w:rPr>
          <w:sz w:val="22"/>
        </w:rPr>
        <w:t>za si limita</w:t>
      </w:r>
      <w:r w:rsidR="00D444AE">
        <w:rPr>
          <w:sz w:val="22"/>
        </w:rPr>
        <w:t xml:space="preserve"> </w:t>
      </w:r>
      <w:r>
        <w:rPr>
          <w:sz w:val="22"/>
        </w:rPr>
        <w:t>prevalentemente</w:t>
      </w:r>
      <w:r w:rsidR="00D444AE">
        <w:rPr>
          <w:sz w:val="22"/>
        </w:rPr>
        <w:t xml:space="preserve"> </w:t>
      </w:r>
      <w:r>
        <w:rPr>
          <w:sz w:val="22"/>
        </w:rPr>
        <w:t>alla vendita diretta o in regime di subfornitur</w:t>
      </w:r>
      <w:r w:rsidR="006F2A2B">
        <w:rPr>
          <w:sz w:val="22"/>
        </w:rPr>
        <w:t>a. Solo una su cinque ha ricavi oltre i 50 milioni di euro;</w:t>
      </w:r>
    </w:p>
    <w:p w14:paraId="12D5C682" w14:textId="0AC20CAA" w:rsidR="00B4314A" w:rsidRDefault="00B4314A" w:rsidP="00992EA7">
      <w:pPr>
        <w:pStyle w:val="Paragrafoelenco"/>
        <w:numPr>
          <w:ilvl w:val="0"/>
          <w:numId w:val="3"/>
        </w:numPr>
        <w:tabs>
          <w:tab w:val="left" w:pos="9639"/>
        </w:tabs>
        <w:ind w:left="567" w:right="-1" w:hanging="284"/>
        <w:jc w:val="both"/>
        <w:rPr>
          <w:sz w:val="22"/>
        </w:rPr>
      </w:pPr>
      <w:r w:rsidRPr="000552E1">
        <w:rPr>
          <w:i/>
          <w:iCs/>
          <w:sz w:val="22"/>
        </w:rPr>
        <w:t>Esportatori attenti al mercato domestico</w:t>
      </w:r>
      <w:r>
        <w:rPr>
          <w:sz w:val="22"/>
        </w:rPr>
        <w:t xml:space="preserve"> </w:t>
      </w:r>
      <w:r w:rsidR="00B417E4">
        <w:rPr>
          <w:sz w:val="22"/>
        </w:rPr>
        <w:t xml:space="preserve">è </w:t>
      </w:r>
      <w:r>
        <w:rPr>
          <w:sz w:val="22"/>
        </w:rPr>
        <w:t>composto da imprese (35,6% del totale) il cui fatturato è conseguito per il 23,9%</w:t>
      </w:r>
      <w:r w:rsidR="00BE2689">
        <w:rPr>
          <w:sz w:val="22"/>
        </w:rPr>
        <w:t xml:space="preserve"> </w:t>
      </w:r>
      <w:r>
        <w:rPr>
          <w:sz w:val="22"/>
        </w:rPr>
        <w:t>all’ester</w:t>
      </w:r>
      <w:r w:rsidR="00B417E4">
        <w:rPr>
          <w:sz w:val="22"/>
        </w:rPr>
        <w:t xml:space="preserve">o, ma che mantengono come mercato di riferimento quello interno. </w:t>
      </w:r>
      <w:r>
        <w:rPr>
          <w:sz w:val="22"/>
        </w:rPr>
        <w:t>Una parte</w:t>
      </w:r>
      <w:r w:rsidR="00BE2689">
        <w:rPr>
          <w:sz w:val="22"/>
        </w:rPr>
        <w:t xml:space="preserve"> </w:t>
      </w:r>
      <w:r w:rsidR="00B417E4">
        <w:rPr>
          <w:sz w:val="22"/>
        </w:rPr>
        <w:t>(18,6%)</w:t>
      </w:r>
      <w:r w:rsidR="00F63BF5">
        <w:rPr>
          <w:sz w:val="22"/>
        </w:rPr>
        <w:t xml:space="preserve"> importa materiali e componenti. Hanno in prevalenza meno di 50 addetti, ricavi sotto i 10 milioni di euro;</w:t>
      </w:r>
    </w:p>
    <w:p w14:paraId="707E9DA2" w14:textId="348F9883" w:rsidR="00B4314A" w:rsidRDefault="00B4314A" w:rsidP="00992EA7">
      <w:pPr>
        <w:pStyle w:val="Paragrafoelenco"/>
        <w:numPr>
          <w:ilvl w:val="0"/>
          <w:numId w:val="3"/>
        </w:numPr>
        <w:tabs>
          <w:tab w:val="left" w:pos="9639"/>
        </w:tabs>
        <w:ind w:left="567" w:right="-1" w:hanging="284"/>
        <w:jc w:val="both"/>
        <w:rPr>
          <w:sz w:val="22"/>
        </w:rPr>
      </w:pPr>
      <w:r w:rsidRPr="000552E1">
        <w:rPr>
          <w:i/>
          <w:iCs/>
          <w:sz w:val="22"/>
        </w:rPr>
        <w:t>Esportatori occasionali/non esportatori</w:t>
      </w:r>
      <w:r w:rsidR="000552E1">
        <w:rPr>
          <w:sz w:val="22"/>
        </w:rPr>
        <w:t xml:space="preserve"> è composto da imprese (26% del totale) che non esportano o generano attraverso le esportazioni una quota</w:t>
      </w:r>
      <w:r w:rsidR="00485D43">
        <w:rPr>
          <w:sz w:val="22"/>
        </w:rPr>
        <w:t xml:space="preserve"> </w:t>
      </w:r>
      <w:r w:rsidR="000552E1">
        <w:rPr>
          <w:sz w:val="22"/>
        </w:rPr>
        <w:t>marginale dei ricav</w:t>
      </w:r>
      <w:r w:rsidR="00B05147">
        <w:rPr>
          <w:sz w:val="22"/>
        </w:rPr>
        <w:t>i. Sono</w:t>
      </w:r>
      <w:r w:rsidR="00BE2689">
        <w:rPr>
          <w:sz w:val="22"/>
        </w:rPr>
        <w:t xml:space="preserve"> </w:t>
      </w:r>
      <w:r w:rsidR="00B05147">
        <w:rPr>
          <w:sz w:val="22"/>
        </w:rPr>
        <w:t xml:space="preserve">di piccole dimensioni e </w:t>
      </w:r>
      <w:r w:rsidR="000552E1">
        <w:rPr>
          <w:sz w:val="22"/>
        </w:rPr>
        <w:t xml:space="preserve">fatturano in media meno di </w:t>
      </w:r>
      <w:proofErr w:type="gramStart"/>
      <w:r w:rsidR="000552E1">
        <w:rPr>
          <w:sz w:val="22"/>
        </w:rPr>
        <w:t>10</w:t>
      </w:r>
      <w:proofErr w:type="gramEnd"/>
      <w:r w:rsidR="000552E1">
        <w:rPr>
          <w:sz w:val="22"/>
        </w:rPr>
        <w:t xml:space="preserve"> milioni. Il loro rapporto di vendita nei mercati esteri è prevalentemente occasionale.</w:t>
      </w:r>
    </w:p>
    <w:p w14:paraId="7A734170" w14:textId="77777777" w:rsidR="000552E1" w:rsidRPr="00B4314A" w:rsidRDefault="000552E1" w:rsidP="000552E1">
      <w:pPr>
        <w:pStyle w:val="Paragrafoelenco"/>
        <w:tabs>
          <w:tab w:val="left" w:pos="9639"/>
        </w:tabs>
        <w:ind w:left="284" w:right="-1"/>
        <w:jc w:val="both"/>
        <w:rPr>
          <w:sz w:val="22"/>
        </w:rPr>
      </w:pPr>
    </w:p>
    <w:p w14:paraId="7B784DB2" w14:textId="5FB60AAD" w:rsidR="007F776B" w:rsidRPr="00485D43" w:rsidRDefault="000552E1" w:rsidP="00485D43">
      <w:pPr>
        <w:pStyle w:val="Paragrafoelenco"/>
        <w:numPr>
          <w:ilvl w:val="0"/>
          <w:numId w:val="4"/>
        </w:numPr>
        <w:tabs>
          <w:tab w:val="left" w:pos="9639"/>
        </w:tabs>
        <w:ind w:left="284" w:right="-1" w:hanging="284"/>
        <w:jc w:val="both"/>
        <w:rPr>
          <w:sz w:val="22"/>
        </w:rPr>
      </w:pPr>
      <w:r w:rsidRPr="00485D43">
        <w:rPr>
          <w:sz w:val="22"/>
        </w:rPr>
        <w:t xml:space="preserve">Nel complesso, le </w:t>
      </w:r>
      <w:r w:rsidR="007F776B" w:rsidRPr="00485D43">
        <w:rPr>
          <w:b/>
          <w:bCs/>
          <w:sz w:val="22"/>
        </w:rPr>
        <w:t>esportazioni dirette</w:t>
      </w:r>
      <w:r w:rsidR="00346A06">
        <w:rPr>
          <w:b/>
          <w:bCs/>
          <w:sz w:val="22"/>
        </w:rPr>
        <w:t xml:space="preserve"> </w:t>
      </w:r>
      <w:r w:rsidR="007F776B" w:rsidRPr="00485D43">
        <w:rPr>
          <w:sz w:val="22"/>
        </w:rPr>
        <w:t>si confermano la principale modalità di presenza all’estero delle imprese del Veneto Est (58,2%), seguita dall’import di materiali e componenti (21,9%),</w:t>
      </w:r>
      <w:r w:rsidR="00346A06">
        <w:rPr>
          <w:sz w:val="22"/>
        </w:rPr>
        <w:t xml:space="preserve"> vendita occasionale (16%), esportazioni i</w:t>
      </w:r>
      <w:r w:rsidR="00D444AE">
        <w:rPr>
          <w:sz w:val="22"/>
        </w:rPr>
        <w:t xml:space="preserve">n subfornitura </w:t>
      </w:r>
      <w:r w:rsidR="00346A06">
        <w:rPr>
          <w:sz w:val="22"/>
        </w:rPr>
        <w:t>(15,4%)</w:t>
      </w:r>
      <w:r w:rsidR="004B765B">
        <w:rPr>
          <w:sz w:val="22"/>
        </w:rPr>
        <w:t>, quind</w:t>
      </w:r>
      <w:r w:rsidR="00514AED">
        <w:rPr>
          <w:sz w:val="22"/>
        </w:rPr>
        <w:t xml:space="preserve">i </w:t>
      </w:r>
      <w:r w:rsidR="007F776B" w:rsidRPr="00485D43">
        <w:rPr>
          <w:sz w:val="22"/>
        </w:rPr>
        <w:t>presenza con filiali commerciali o negozi (9,6%)</w:t>
      </w:r>
      <w:r w:rsidR="004B765B">
        <w:rPr>
          <w:sz w:val="22"/>
        </w:rPr>
        <w:t xml:space="preserve">, uffici di rappresentanza (7,2%) e produzione con proprie sedi e stabilimenti </w:t>
      </w:r>
      <w:r w:rsidR="007F776B" w:rsidRPr="00485D43">
        <w:rPr>
          <w:sz w:val="22"/>
        </w:rPr>
        <w:t>(</w:t>
      </w:r>
      <w:r w:rsidR="004B765B">
        <w:rPr>
          <w:sz w:val="22"/>
        </w:rPr>
        <w:t>4,8%</w:t>
      </w:r>
      <w:r w:rsidR="007F776B" w:rsidRPr="00485D43">
        <w:rPr>
          <w:sz w:val="22"/>
        </w:rPr>
        <w:t>).</w:t>
      </w:r>
    </w:p>
    <w:p w14:paraId="115BC82D" w14:textId="77777777" w:rsidR="007F776B" w:rsidRDefault="007F776B" w:rsidP="007F776B">
      <w:pPr>
        <w:tabs>
          <w:tab w:val="left" w:pos="9639"/>
        </w:tabs>
        <w:ind w:right="-1"/>
        <w:jc w:val="both"/>
        <w:rPr>
          <w:sz w:val="22"/>
        </w:rPr>
      </w:pPr>
    </w:p>
    <w:p w14:paraId="7F9C79A0" w14:textId="1F50F06F" w:rsidR="00AD64A8" w:rsidRPr="00485D43" w:rsidRDefault="007F776B" w:rsidP="00485D43">
      <w:pPr>
        <w:pStyle w:val="Paragrafoelenco"/>
        <w:numPr>
          <w:ilvl w:val="0"/>
          <w:numId w:val="4"/>
        </w:numPr>
        <w:tabs>
          <w:tab w:val="left" w:pos="9639"/>
        </w:tabs>
        <w:ind w:left="284" w:right="-1" w:hanging="284"/>
        <w:jc w:val="both"/>
        <w:rPr>
          <w:sz w:val="22"/>
        </w:rPr>
      </w:pPr>
      <w:r w:rsidRPr="00485D43">
        <w:rPr>
          <w:sz w:val="22"/>
        </w:rPr>
        <w:t xml:space="preserve">Nel 2022 la </w:t>
      </w:r>
      <w:r w:rsidRPr="00485D43">
        <w:rPr>
          <w:b/>
          <w:bCs/>
          <w:sz w:val="22"/>
        </w:rPr>
        <w:t>quota di fatturato</w:t>
      </w:r>
      <w:r w:rsidRPr="00485D43">
        <w:rPr>
          <w:sz w:val="22"/>
        </w:rPr>
        <w:t xml:space="preserve"> realizzata all’estero è salita al</w:t>
      </w:r>
      <w:r w:rsidR="005332F4">
        <w:rPr>
          <w:sz w:val="22"/>
        </w:rPr>
        <w:t xml:space="preserve"> 36% (valore medio) dal 33,5% nel 2021; </w:t>
      </w:r>
      <w:r w:rsidRPr="00485D43">
        <w:rPr>
          <w:sz w:val="22"/>
        </w:rPr>
        <w:t>in crescita anche il valore delle esporta</w:t>
      </w:r>
      <w:r w:rsidR="00CB7406" w:rsidRPr="00485D43">
        <w:rPr>
          <w:sz w:val="22"/>
        </w:rPr>
        <w:t xml:space="preserve">zioni di beni </w:t>
      </w:r>
      <w:r w:rsidR="00AD64A8" w:rsidRPr="00485D43">
        <w:rPr>
          <w:sz w:val="22"/>
        </w:rPr>
        <w:t xml:space="preserve">del +24,8% rispetto al 2019, grazie anche al </w:t>
      </w:r>
      <w:proofErr w:type="spellStart"/>
      <w:r w:rsidR="00AD64A8" w:rsidRPr="00485D43">
        <w:rPr>
          <w:i/>
          <w:iCs/>
          <w:sz w:val="22"/>
        </w:rPr>
        <w:t>boost</w:t>
      </w:r>
      <w:proofErr w:type="spellEnd"/>
      <w:r w:rsidR="00AD64A8" w:rsidRPr="00485D43">
        <w:rPr>
          <w:sz w:val="22"/>
        </w:rPr>
        <w:t xml:space="preserve"> della doppia transizione digitale e verde.</w:t>
      </w:r>
    </w:p>
    <w:p w14:paraId="30F2E98F" w14:textId="77777777" w:rsidR="00AD64A8" w:rsidRDefault="00AD64A8" w:rsidP="00AD64A8">
      <w:pPr>
        <w:tabs>
          <w:tab w:val="left" w:pos="9639"/>
        </w:tabs>
        <w:ind w:right="-1"/>
        <w:jc w:val="both"/>
        <w:rPr>
          <w:sz w:val="22"/>
        </w:rPr>
      </w:pPr>
    </w:p>
    <w:p w14:paraId="1144CC28" w14:textId="3F96662A" w:rsidR="0010069E" w:rsidRDefault="00AD64A8" w:rsidP="00992EA7">
      <w:pPr>
        <w:pStyle w:val="Paragrafoelenco"/>
        <w:numPr>
          <w:ilvl w:val="0"/>
          <w:numId w:val="4"/>
        </w:numPr>
        <w:tabs>
          <w:tab w:val="left" w:pos="9639"/>
        </w:tabs>
        <w:ind w:left="284" w:right="-1" w:hanging="284"/>
        <w:jc w:val="both"/>
        <w:rPr>
          <w:sz w:val="22"/>
        </w:rPr>
      </w:pPr>
      <w:r w:rsidRPr="00485D43">
        <w:rPr>
          <w:sz w:val="22"/>
        </w:rPr>
        <w:t>Germania, Francia e Stati Uniti s</w:t>
      </w:r>
      <w:r w:rsidR="0010069E">
        <w:rPr>
          <w:sz w:val="22"/>
        </w:rPr>
        <w:t xml:space="preserve">ono </w:t>
      </w:r>
      <w:r w:rsidRPr="00485D43">
        <w:rPr>
          <w:sz w:val="22"/>
        </w:rPr>
        <w:t xml:space="preserve">i </w:t>
      </w:r>
      <w:r w:rsidR="007F776B" w:rsidRPr="00485D43">
        <w:rPr>
          <w:b/>
          <w:bCs/>
          <w:i/>
          <w:iCs/>
          <w:sz w:val="22"/>
        </w:rPr>
        <w:t>place to be</w:t>
      </w:r>
      <w:r w:rsidR="007F776B" w:rsidRPr="00485D43">
        <w:rPr>
          <w:sz w:val="22"/>
        </w:rPr>
        <w:t xml:space="preserve"> </w:t>
      </w:r>
      <w:r w:rsidR="0010069E">
        <w:rPr>
          <w:sz w:val="22"/>
        </w:rPr>
        <w:t xml:space="preserve">più rilevanti per l’export nel 2024. </w:t>
      </w:r>
      <w:r w:rsidR="007F776B" w:rsidRPr="00485D43">
        <w:rPr>
          <w:sz w:val="22"/>
        </w:rPr>
        <w:t>T</w:t>
      </w:r>
      <w:r w:rsidR="0010069E">
        <w:rPr>
          <w:sz w:val="22"/>
        </w:rPr>
        <w:t>ra i primi tre Paesi target extra U</w:t>
      </w:r>
      <w:r w:rsidR="00BE2689">
        <w:rPr>
          <w:sz w:val="22"/>
        </w:rPr>
        <w:t>e</w:t>
      </w:r>
      <w:r w:rsidR="0010069E">
        <w:rPr>
          <w:sz w:val="22"/>
        </w:rPr>
        <w:t>, dopo gli Usa, spiccano Regno Unito (nonostante Brexit) e la presenza, emergente, degli Emirati Arabi Uniti come terzo Paese più rilevant</w:t>
      </w:r>
      <w:r w:rsidR="004B765B">
        <w:rPr>
          <w:sz w:val="22"/>
        </w:rPr>
        <w:t>e. Non compare invece la Cina.</w:t>
      </w:r>
    </w:p>
    <w:p w14:paraId="102AD8A6" w14:textId="77777777" w:rsidR="004B765B" w:rsidRDefault="004B765B" w:rsidP="004B765B">
      <w:pPr>
        <w:pStyle w:val="Paragrafoelenco"/>
        <w:tabs>
          <w:tab w:val="left" w:pos="9639"/>
        </w:tabs>
        <w:ind w:left="284" w:right="-1"/>
        <w:jc w:val="both"/>
        <w:rPr>
          <w:sz w:val="22"/>
        </w:rPr>
      </w:pPr>
    </w:p>
    <w:p w14:paraId="6DE99237" w14:textId="5DD8F60E" w:rsidR="007F776B" w:rsidRPr="00485D43" w:rsidRDefault="00514AED" w:rsidP="00992EA7">
      <w:pPr>
        <w:pStyle w:val="Paragrafoelenco"/>
        <w:numPr>
          <w:ilvl w:val="0"/>
          <w:numId w:val="4"/>
        </w:numPr>
        <w:tabs>
          <w:tab w:val="left" w:pos="9639"/>
        </w:tabs>
        <w:ind w:left="284" w:right="-1" w:hanging="284"/>
        <w:jc w:val="both"/>
        <w:rPr>
          <w:sz w:val="22"/>
        </w:rPr>
      </w:pPr>
      <w:r>
        <w:rPr>
          <w:sz w:val="22"/>
        </w:rPr>
        <w:t xml:space="preserve">Prosegue la </w:t>
      </w:r>
      <w:r w:rsidRPr="00514AED">
        <w:rPr>
          <w:b/>
          <w:bCs/>
          <w:sz w:val="22"/>
        </w:rPr>
        <w:t>revisione delle catene di fornitura</w:t>
      </w:r>
      <w:r>
        <w:rPr>
          <w:sz w:val="22"/>
        </w:rPr>
        <w:t xml:space="preserve">: </w:t>
      </w:r>
      <w:r w:rsidR="008F6D5C">
        <w:rPr>
          <w:sz w:val="22"/>
        </w:rPr>
        <w:t xml:space="preserve">negli ultimi due anni il </w:t>
      </w:r>
      <w:r w:rsidR="00786980" w:rsidRPr="00485D43">
        <w:rPr>
          <w:sz w:val="22"/>
        </w:rPr>
        <w:t>28,2% delle impres</w:t>
      </w:r>
      <w:r w:rsidR="00AE12A8" w:rsidRPr="00485D43">
        <w:rPr>
          <w:sz w:val="22"/>
        </w:rPr>
        <w:t xml:space="preserve">e </w:t>
      </w:r>
      <w:r w:rsidR="00786980" w:rsidRPr="00485D43">
        <w:rPr>
          <w:sz w:val="22"/>
        </w:rPr>
        <w:t>ha cambiato almeno un fornitore strategic</w:t>
      </w:r>
      <w:r w:rsidR="008F6D5C">
        <w:rPr>
          <w:sz w:val="22"/>
        </w:rPr>
        <w:t xml:space="preserve">o (34,7% nell’Osservatorio precedente). Tra queste, </w:t>
      </w:r>
      <w:r w:rsidR="00786980" w:rsidRPr="00485D43">
        <w:rPr>
          <w:sz w:val="22"/>
        </w:rPr>
        <w:t>il 53,3% ha optato per nuovi fornitori strategici più vicini, in Italia, il 10,3%</w:t>
      </w:r>
      <w:r w:rsidR="00AD64A8" w:rsidRPr="00485D43">
        <w:rPr>
          <w:sz w:val="22"/>
        </w:rPr>
        <w:t xml:space="preserve"> ha scelto </w:t>
      </w:r>
      <w:r w:rsidR="00E97C95" w:rsidRPr="00485D43">
        <w:rPr>
          <w:sz w:val="22"/>
        </w:rPr>
        <w:t>fornitori più vicini, ma fuori dall’Italia (</w:t>
      </w:r>
      <w:r w:rsidR="00786980" w:rsidRPr="00485D43">
        <w:rPr>
          <w:sz w:val="22"/>
        </w:rPr>
        <w:t>Paesi Ue, in prevalenza).</w:t>
      </w:r>
      <w:bookmarkStart w:id="4" w:name="_Hlk125535517"/>
      <w:r w:rsidR="00786980" w:rsidRPr="00485D43">
        <w:rPr>
          <w:sz w:val="22"/>
        </w:rPr>
        <w:t xml:space="preserve"> </w:t>
      </w:r>
      <w:r w:rsidR="004410D5" w:rsidRPr="00485D43">
        <w:rPr>
          <w:sz w:val="22"/>
        </w:rPr>
        <w:t xml:space="preserve">Un </w:t>
      </w:r>
      <w:proofErr w:type="spellStart"/>
      <w:r w:rsidR="00A34057" w:rsidRPr="00485D43">
        <w:rPr>
          <w:i/>
          <w:iCs/>
          <w:sz w:val="22"/>
        </w:rPr>
        <w:t>reshoring</w:t>
      </w:r>
      <w:proofErr w:type="spellEnd"/>
      <w:r w:rsidR="00A34057" w:rsidRPr="00485D43">
        <w:rPr>
          <w:sz w:val="22"/>
        </w:rPr>
        <w:t xml:space="preserve"> </w:t>
      </w:r>
      <w:r w:rsidR="00DC20C6" w:rsidRPr="00485D43">
        <w:rPr>
          <w:sz w:val="22"/>
        </w:rPr>
        <w:t>delle proprie fornitur</w:t>
      </w:r>
      <w:r w:rsidR="00AD64A8" w:rsidRPr="00485D43">
        <w:rPr>
          <w:sz w:val="22"/>
        </w:rPr>
        <w:t>e</w:t>
      </w:r>
      <w:r w:rsidR="008F6D5C">
        <w:rPr>
          <w:sz w:val="22"/>
        </w:rPr>
        <w:t xml:space="preserve"> ancora in atto, </w:t>
      </w:r>
      <w:r w:rsidR="00AD64A8" w:rsidRPr="00485D43">
        <w:rPr>
          <w:sz w:val="22"/>
        </w:rPr>
        <w:t>orientat</w:t>
      </w:r>
      <w:r w:rsidR="000552E1" w:rsidRPr="00485D43">
        <w:rPr>
          <w:sz w:val="22"/>
        </w:rPr>
        <w:t>o in larga prevalenza verso la scelta di fornitori più vicini e che riguarda nel comple</w:t>
      </w:r>
      <w:r w:rsidR="008F6D5C">
        <w:rPr>
          <w:sz w:val="22"/>
        </w:rPr>
        <w:t>sso il 18% delle imprese (26% nell’Osservatorio precedente).</w:t>
      </w:r>
    </w:p>
    <w:p w14:paraId="3F4D7CF3" w14:textId="77777777" w:rsidR="007F776B" w:rsidRDefault="007F776B" w:rsidP="00992EA7">
      <w:pPr>
        <w:tabs>
          <w:tab w:val="left" w:pos="9639"/>
        </w:tabs>
        <w:ind w:left="284" w:right="-1" w:hanging="284"/>
        <w:jc w:val="both"/>
        <w:rPr>
          <w:sz w:val="22"/>
        </w:rPr>
      </w:pPr>
    </w:p>
    <w:p w14:paraId="59245820" w14:textId="725E5927" w:rsidR="007F776B" w:rsidRPr="00992EA7" w:rsidRDefault="00281C06" w:rsidP="00992EA7">
      <w:pPr>
        <w:pStyle w:val="Paragrafoelenco"/>
        <w:numPr>
          <w:ilvl w:val="0"/>
          <w:numId w:val="4"/>
        </w:numPr>
        <w:tabs>
          <w:tab w:val="left" w:pos="9639"/>
        </w:tabs>
        <w:ind w:left="284" w:right="-1" w:hanging="284"/>
        <w:jc w:val="both"/>
        <w:rPr>
          <w:sz w:val="22"/>
        </w:rPr>
      </w:pPr>
      <w:r w:rsidRPr="00992EA7">
        <w:rPr>
          <w:sz w:val="22"/>
        </w:rPr>
        <w:t>Abbracciare la transi</w:t>
      </w:r>
      <w:r w:rsidR="00B05F66" w:rsidRPr="00992EA7">
        <w:rPr>
          <w:sz w:val="22"/>
        </w:rPr>
        <w:t xml:space="preserve">zione </w:t>
      </w:r>
      <w:r w:rsidR="00B05F66" w:rsidRPr="00992EA7">
        <w:rPr>
          <w:i/>
          <w:iCs/>
          <w:sz w:val="22"/>
        </w:rPr>
        <w:t>green</w:t>
      </w:r>
      <w:r w:rsidR="00B05F66" w:rsidRPr="00992EA7">
        <w:rPr>
          <w:sz w:val="22"/>
        </w:rPr>
        <w:t xml:space="preserve"> e digitale </w:t>
      </w:r>
      <w:r w:rsidRPr="00992EA7">
        <w:rPr>
          <w:sz w:val="22"/>
        </w:rPr>
        <w:t>porta le imprese ad essere più resilienti, ma soprattutt</w:t>
      </w:r>
      <w:r w:rsidR="00381AE8" w:rsidRPr="00992EA7">
        <w:rPr>
          <w:sz w:val="22"/>
        </w:rPr>
        <w:t xml:space="preserve">o </w:t>
      </w:r>
      <w:r w:rsidR="00381AE8" w:rsidRPr="00992EA7">
        <w:rPr>
          <w:b/>
          <w:bCs/>
          <w:sz w:val="22"/>
        </w:rPr>
        <w:t>più competitiv</w:t>
      </w:r>
      <w:r w:rsidR="00FB6929" w:rsidRPr="00992EA7">
        <w:rPr>
          <w:b/>
          <w:bCs/>
          <w:sz w:val="22"/>
        </w:rPr>
        <w:t>e</w:t>
      </w:r>
      <w:r w:rsidR="00FB6929" w:rsidRPr="00992EA7">
        <w:rPr>
          <w:sz w:val="22"/>
        </w:rPr>
        <w:t xml:space="preserve"> in ambito interna</w:t>
      </w:r>
      <w:r w:rsidR="00FB0CC5" w:rsidRPr="00992EA7">
        <w:rPr>
          <w:sz w:val="22"/>
        </w:rPr>
        <w:t>zionale.</w:t>
      </w:r>
    </w:p>
    <w:p w14:paraId="0D46C4B6" w14:textId="77777777" w:rsidR="007F776B" w:rsidRDefault="007F776B" w:rsidP="00992EA7">
      <w:pPr>
        <w:tabs>
          <w:tab w:val="left" w:pos="9639"/>
        </w:tabs>
        <w:ind w:left="284" w:right="-1" w:hanging="284"/>
        <w:jc w:val="both"/>
        <w:rPr>
          <w:sz w:val="22"/>
        </w:rPr>
      </w:pPr>
    </w:p>
    <w:p w14:paraId="12CDBB3F" w14:textId="240DD374" w:rsidR="007F776B" w:rsidRDefault="00FB0CC5" w:rsidP="00992EA7">
      <w:pPr>
        <w:pStyle w:val="Paragrafoelenco"/>
        <w:numPr>
          <w:ilvl w:val="0"/>
          <w:numId w:val="4"/>
        </w:numPr>
        <w:tabs>
          <w:tab w:val="left" w:pos="9639"/>
        </w:tabs>
        <w:ind w:left="284" w:right="-1" w:hanging="284"/>
        <w:jc w:val="both"/>
        <w:rPr>
          <w:sz w:val="22"/>
        </w:rPr>
      </w:pPr>
      <w:r w:rsidRPr="00992EA7">
        <w:rPr>
          <w:sz w:val="22"/>
        </w:rPr>
        <w:t xml:space="preserve">Il fattore </w:t>
      </w:r>
      <w:r w:rsidRPr="00992EA7">
        <w:rPr>
          <w:b/>
          <w:bCs/>
          <w:sz w:val="22"/>
        </w:rPr>
        <w:t>sostenibilità</w:t>
      </w:r>
      <w:r w:rsidRPr="00992EA7">
        <w:rPr>
          <w:sz w:val="22"/>
        </w:rPr>
        <w:t xml:space="preserve"> è ritenuto dall’83%</w:t>
      </w:r>
      <w:r w:rsidR="00AD64A8" w:rsidRPr="00992EA7">
        <w:rPr>
          <w:sz w:val="22"/>
        </w:rPr>
        <w:t xml:space="preserve"> degli imprenditori e manager intervistati un driver importante o molto importante per l’espansione internazionale della propria azienda </w:t>
      </w:r>
      <w:r w:rsidRPr="00992EA7">
        <w:rPr>
          <w:sz w:val="22"/>
        </w:rPr>
        <w:t>(92,9%</w:t>
      </w:r>
      <w:r w:rsidR="00807D50" w:rsidRPr="00992EA7">
        <w:rPr>
          <w:sz w:val="22"/>
        </w:rPr>
        <w:t xml:space="preserve"> per le imprese più grandi</w:t>
      </w:r>
      <w:r w:rsidRPr="00992EA7">
        <w:rPr>
          <w:sz w:val="22"/>
        </w:rPr>
        <w:t>), di pari passo con l’accresciut</w:t>
      </w:r>
      <w:r w:rsidR="00EB4BFC" w:rsidRPr="00992EA7">
        <w:rPr>
          <w:sz w:val="22"/>
        </w:rPr>
        <w:t xml:space="preserve">a attenzione al </w:t>
      </w:r>
      <w:r w:rsidRPr="00992EA7">
        <w:rPr>
          <w:sz w:val="22"/>
        </w:rPr>
        <w:t>tema da parte di clienti e fornitor</w:t>
      </w:r>
      <w:r w:rsidR="00AD64A8" w:rsidRPr="00992EA7">
        <w:rPr>
          <w:sz w:val="22"/>
        </w:rPr>
        <w:t>i internazional</w:t>
      </w:r>
      <w:r w:rsidR="00CB7406" w:rsidRPr="00992EA7">
        <w:rPr>
          <w:sz w:val="22"/>
        </w:rPr>
        <w:t xml:space="preserve">i rilevata dal 53%. </w:t>
      </w:r>
      <w:r w:rsidR="00B149F5" w:rsidRPr="00992EA7">
        <w:rPr>
          <w:sz w:val="22"/>
        </w:rPr>
        <w:t>Dall’opinione all’e</w:t>
      </w:r>
      <w:r w:rsidR="00807D50" w:rsidRPr="00992EA7">
        <w:rPr>
          <w:sz w:val="22"/>
        </w:rPr>
        <w:t xml:space="preserve">sperienza: </w:t>
      </w:r>
      <w:r w:rsidR="00B149F5" w:rsidRPr="00992EA7">
        <w:rPr>
          <w:sz w:val="22"/>
        </w:rPr>
        <w:t>adottare politiche di sostenibilità ambiental</w:t>
      </w:r>
      <w:r w:rsidR="00807D50" w:rsidRPr="00992EA7">
        <w:rPr>
          <w:sz w:val="22"/>
        </w:rPr>
        <w:t>e migliora la reputazione internazionale dell’i</w:t>
      </w:r>
      <w:r w:rsidR="001C75EC" w:rsidRPr="00992EA7">
        <w:rPr>
          <w:sz w:val="22"/>
        </w:rPr>
        <w:t>mpres</w:t>
      </w:r>
      <w:r w:rsidR="00AD64A8" w:rsidRPr="00992EA7">
        <w:rPr>
          <w:sz w:val="22"/>
        </w:rPr>
        <w:t xml:space="preserve">a </w:t>
      </w:r>
      <w:r w:rsidR="001C75EC" w:rsidRPr="00992EA7">
        <w:rPr>
          <w:sz w:val="22"/>
        </w:rPr>
        <w:t>(</w:t>
      </w:r>
      <w:r w:rsidR="00CB7406" w:rsidRPr="00992EA7">
        <w:rPr>
          <w:sz w:val="22"/>
        </w:rPr>
        <w:t>per l’</w:t>
      </w:r>
      <w:r w:rsidR="001C75EC" w:rsidRPr="00992EA7">
        <w:rPr>
          <w:sz w:val="22"/>
        </w:rPr>
        <w:t xml:space="preserve">80,9%); </w:t>
      </w:r>
      <w:r w:rsidR="00807D50" w:rsidRPr="00992EA7">
        <w:rPr>
          <w:sz w:val="22"/>
        </w:rPr>
        <w:t>per più di un terzo (34,8%) ha facilitato l’accesso ai mercati internazionali, quota che sale al 49,5% per le imprese più g</w:t>
      </w:r>
      <w:r w:rsidR="00B60CA6" w:rsidRPr="00992EA7">
        <w:rPr>
          <w:sz w:val="22"/>
        </w:rPr>
        <w:t>randi.</w:t>
      </w:r>
    </w:p>
    <w:p w14:paraId="49FC3F03" w14:textId="77777777" w:rsidR="007658AA" w:rsidRPr="007658AA" w:rsidRDefault="007658AA" w:rsidP="007658AA">
      <w:pPr>
        <w:pStyle w:val="Paragrafoelenco"/>
        <w:rPr>
          <w:sz w:val="22"/>
        </w:rPr>
      </w:pPr>
    </w:p>
    <w:p w14:paraId="2BCF47A5" w14:textId="79F3A354" w:rsidR="007658AA" w:rsidRDefault="007658AA" w:rsidP="00992EA7">
      <w:pPr>
        <w:pStyle w:val="Paragrafoelenco"/>
        <w:numPr>
          <w:ilvl w:val="0"/>
          <w:numId w:val="4"/>
        </w:numPr>
        <w:tabs>
          <w:tab w:val="left" w:pos="9639"/>
        </w:tabs>
        <w:ind w:left="284" w:right="-1" w:hanging="284"/>
        <w:jc w:val="both"/>
        <w:rPr>
          <w:sz w:val="22"/>
        </w:rPr>
      </w:pPr>
      <w:r>
        <w:rPr>
          <w:sz w:val="22"/>
        </w:rPr>
        <w:lastRenderedPageBreak/>
        <w:t>Per il 68,2%</w:t>
      </w:r>
      <w:r w:rsidR="00554EAB">
        <w:rPr>
          <w:sz w:val="22"/>
        </w:rPr>
        <w:t xml:space="preserve"> </w:t>
      </w:r>
      <w:r>
        <w:rPr>
          <w:sz w:val="22"/>
        </w:rPr>
        <w:t>l’attenzione alla sostenibilità dei potenziali clienti</w:t>
      </w:r>
      <w:r w:rsidR="002E1339">
        <w:rPr>
          <w:sz w:val="22"/>
        </w:rPr>
        <w:t xml:space="preserve"> è tra </w:t>
      </w:r>
      <w:r>
        <w:rPr>
          <w:sz w:val="22"/>
        </w:rPr>
        <w:t>variabili</w:t>
      </w:r>
      <w:r w:rsidR="00BE3290">
        <w:rPr>
          <w:sz w:val="22"/>
        </w:rPr>
        <w:t xml:space="preserve"> </w:t>
      </w:r>
      <w:r w:rsidR="00554EAB">
        <w:rPr>
          <w:sz w:val="22"/>
        </w:rPr>
        <w:t>nel valutare un nuovo mercato (</w:t>
      </w:r>
      <w:r>
        <w:rPr>
          <w:sz w:val="22"/>
        </w:rPr>
        <w:t>per il 10,9%</w:t>
      </w:r>
      <w:r w:rsidR="00BE3290">
        <w:rPr>
          <w:sz w:val="22"/>
        </w:rPr>
        <w:t xml:space="preserve"> è </w:t>
      </w:r>
      <w:r>
        <w:rPr>
          <w:sz w:val="22"/>
        </w:rPr>
        <w:t>fondamentale). Nella scelta</w:t>
      </w:r>
      <w:r w:rsidR="00C12D3F">
        <w:rPr>
          <w:sz w:val="22"/>
        </w:rPr>
        <w:t xml:space="preserve"> </w:t>
      </w:r>
      <w:r w:rsidR="001F141A">
        <w:rPr>
          <w:sz w:val="22"/>
        </w:rPr>
        <w:t>prevalgono le opportunità legate alla sostenibilità in termini di ricettività di mercato (49,7%). Tra le difficolt</w:t>
      </w:r>
      <w:r w:rsidR="00C12D3F">
        <w:rPr>
          <w:sz w:val="22"/>
        </w:rPr>
        <w:t xml:space="preserve">à, </w:t>
      </w:r>
      <w:r w:rsidR="001F141A">
        <w:rPr>
          <w:sz w:val="22"/>
        </w:rPr>
        <w:t>il 38,3%</w:t>
      </w:r>
      <w:r w:rsidR="00BE3290">
        <w:rPr>
          <w:sz w:val="22"/>
        </w:rPr>
        <w:t xml:space="preserve"> rileva </w:t>
      </w:r>
      <w:r w:rsidR="00554EAB">
        <w:rPr>
          <w:sz w:val="22"/>
        </w:rPr>
        <w:t>i costi eccessivi a fronte di un ritorno economico incerto,</w:t>
      </w:r>
      <w:r w:rsidR="00CA5CD0">
        <w:rPr>
          <w:sz w:val="22"/>
        </w:rPr>
        <w:t xml:space="preserve"> le </w:t>
      </w:r>
      <w:r w:rsidR="001F141A">
        <w:rPr>
          <w:sz w:val="22"/>
        </w:rPr>
        <w:t>normative sulla sostenibilità non chiare nei Paesi t</w:t>
      </w:r>
      <w:r w:rsidR="00554EAB">
        <w:rPr>
          <w:sz w:val="22"/>
        </w:rPr>
        <w:t>arget (24,7%).</w:t>
      </w:r>
    </w:p>
    <w:p w14:paraId="63FFB4B8" w14:textId="77777777" w:rsidR="00554EAB" w:rsidRPr="00554EAB" w:rsidRDefault="00554EAB" w:rsidP="00554EAB">
      <w:pPr>
        <w:pStyle w:val="Paragrafoelenco"/>
        <w:rPr>
          <w:sz w:val="22"/>
        </w:rPr>
      </w:pPr>
    </w:p>
    <w:p w14:paraId="7000A67B" w14:textId="20033741" w:rsidR="00554EAB" w:rsidRPr="00992EA7" w:rsidRDefault="00554EAB" w:rsidP="00992EA7">
      <w:pPr>
        <w:pStyle w:val="Paragrafoelenco"/>
        <w:numPr>
          <w:ilvl w:val="0"/>
          <w:numId w:val="4"/>
        </w:numPr>
        <w:tabs>
          <w:tab w:val="left" w:pos="9639"/>
        </w:tabs>
        <w:ind w:left="284" w:right="-1" w:hanging="284"/>
        <w:jc w:val="both"/>
        <w:rPr>
          <w:sz w:val="22"/>
        </w:rPr>
      </w:pPr>
      <w:r>
        <w:rPr>
          <w:sz w:val="22"/>
        </w:rPr>
        <w:t>Tra le principali sfide nell’integrare la sostenibilit</w:t>
      </w:r>
      <w:r w:rsidR="00C12D3F">
        <w:rPr>
          <w:sz w:val="22"/>
        </w:rPr>
        <w:t xml:space="preserve">à nella catena globale del valore, </w:t>
      </w:r>
      <w:r>
        <w:rPr>
          <w:sz w:val="22"/>
        </w:rPr>
        <w:t>il 38,4%</w:t>
      </w:r>
      <w:r w:rsidR="00BE3290">
        <w:rPr>
          <w:sz w:val="22"/>
        </w:rPr>
        <w:t xml:space="preserve"> </w:t>
      </w:r>
      <w:r w:rsidR="00C12D3F">
        <w:rPr>
          <w:sz w:val="22"/>
        </w:rPr>
        <w:t xml:space="preserve">delle imprese </w:t>
      </w:r>
      <w:r w:rsidR="00BE3290">
        <w:rPr>
          <w:sz w:val="22"/>
        </w:rPr>
        <w:t xml:space="preserve">segnala </w:t>
      </w:r>
      <w:r>
        <w:rPr>
          <w:sz w:val="22"/>
        </w:rPr>
        <w:t>la difficoltà a monitorare il rispetto dei principi di sostenibilità lungo tutta la catena di approvvigionamento,</w:t>
      </w:r>
      <w:r w:rsidR="00BE3290">
        <w:rPr>
          <w:sz w:val="22"/>
        </w:rPr>
        <w:t xml:space="preserve"> </w:t>
      </w:r>
      <w:r>
        <w:rPr>
          <w:sz w:val="22"/>
        </w:rPr>
        <w:t>il monitoraggio e</w:t>
      </w:r>
      <w:r w:rsidR="00CA5CD0">
        <w:rPr>
          <w:sz w:val="22"/>
        </w:rPr>
        <w:t xml:space="preserve"> </w:t>
      </w:r>
      <w:r>
        <w:rPr>
          <w:sz w:val="22"/>
        </w:rPr>
        <w:t>valutazione delle pratiche di sostenibilità dei propri fornitori (35,3%) e la selezione di fornitori sostenibili (34,5%).</w:t>
      </w:r>
    </w:p>
    <w:p w14:paraId="6A92A03C" w14:textId="77777777" w:rsidR="007F776B" w:rsidRDefault="007F776B" w:rsidP="00992EA7">
      <w:pPr>
        <w:tabs>
          <w:tab w:val="left" w:pos="9639"/>
        </w:tabs>
        <w:ind w:left="284" w:right="-1" w:hanging="284"/>
        <w:jc w:val="both"/>
        <w:rPr>
          <w:sz w:val="22"/>
        </w:rPr>
      </w:pPr>
    </w:p>
    <w:p w14:paraId="05B246C0" w14:textId="382727A1" w:rsidR="00DF62C6" w:rsidRPr="002E1339" w:rsidRDefault="00B60CA6" w:rsidP="00674131">
      <w:pPr>
        <w:pStyle w:val="Paragrafoelenco"/>
        <w:numPr>
          <w:ilvl w:val="0"/>
          <w:numId w:val="4"/>
        </w:numPr>
        <w:tabs>
          <w:tab w:val="left" w:pos="9639"/>
        </w:tabs>
        <w:ind w:left="284" w:right="-1" w:hanging="284"/>
        <w:jc w:val="both"/>
        <w:rPr>
          <w:sz w:val="22"/>
        </w:rPr>
      </w:pPr>
      <w:r w:rsidRPr="002E1339">
        <w:rPr>
          <w:sz w:val="22"/>
        </w:rPr>
        <w:t xml:space="preserve">La </w:t>
      </w:r>
      <w:r w:rsidRPr="002E1339">
        <w:rPr>
          <w:b/>
          <w:bCs/>
          <w:sz w:val="22"/>
        </w:rPr>
        <w:t>digitalizzazione</w:t>
      </w:r>
      <w:r w:rsidRPr="002E1339">
        <w:rPr>
          <w:sz w:val="22"/>
        </w:rPr>
        <w:t xml:space="preserve"> si conferm</w:t>
      </w:r>
      <w:r w:rsidR="00BE2689">
        <w:rPr>
          <w:sz w:val="22"/>
        </w:rPr>
        <w:t xml:space="preserve">a un </w:t>
      </w:r>
      <w:r w:rsidR="00EB4BFC" w:rsidRPr="002E1339">
        <w:rPr>
          <w:sz w:val="22"/>
        </w:rPr>
        <w:t>fattore abilitante nei processi di internazionalizza</w:t>
      </w:r>
      <w:r w:rsidR="002E1339" w:rsidRPr="002E1339">
        <w:rPr>
          <w:sz w:val="22"/>
        </w:rPr>
        <w:t xml:space="preserve">zione. </w:t>
      </w:r>
      <w:r w:rsidR="00281C06" w:rsidRPr="002E1339">
        <w:rPr>
          <w:sz w:val="22"/>
        </w:rPr>
        <w:t>Per il 67,2%</w:t>
      </w:r>
      <w:r w:rsidR="00CB7406" w:rsidRPr="002E1339">
        <w:rPr>
          <w:sz w:val="22"/>
        </w:rPr>
        <w:t xml:space="preserve"> delle imprese </w:t>
      </w:r>
      <w:r w:rsidR="00B06D5F" w:rsidRPr="002E1339">
        <w:rPr>
          <w:sz w:val="22"/>
        </w:rPr>
        <w:t>ha reso più efficienti la collabora</w:t>
      </w:r>
      <w:r w:rsidR="00F4497C" w:rsidRPr="002E1339">
        <w:rPr>
          <w:sz w:val="22"/>
        </w:rPr>
        <w:t xml:space="preserve">zione e </w:t>
      </w:r>
      <w:r w:rsidR="00B06D5F" w:rsidRPr="002E1339">
        <w:rPr>
          <w:sz w:val="22"/>
        </w:rPr>
        <w:t>comunicazione remot</w:t>
      </w:r>
      <w:r w:rsidR="00F4497C" w:rsidRPr="002E1339">
        <w:rPr>
          <w:sz w:val="22"/>
        </w:rPr>
        <w:t xml:space="preserve">a, </w:t>
      </w:r>
      <w:r w:rsidR="00FB6929" w:rsidRPr="002E1339">
        <w:rPr>
          <w:sz w:val="22"/>
        </w:rPr>
        <w:t>per il 56%</w:t>
      </w:r>
      <w:r w:rsidR="00E97C95" w:rsidRPr="002E1339">
        <w:rPr>
          <w:sz w:val="22"/>
        </w:rPr>
        <w:t xml:space="preserve"> ha migliorat</w:t>
      </w:r>
      <w:r w:rsidR="004B765B" w:rsidRPr="002E1339">
        <w:rPr>
          <w:sz w:val="22"/>
        </w:rPr>
        <w:t xml:space="preserve">o la gestione automatizzata degli ordini e per il </w:t>
      </w:r>
      <w:r w:rsidR="00E97C95" w:rsidRPr="002E1339">
        <w:rPr>
          <w:sz w:val="22"/>
        </w:rPr>
        <w:t>53%</w:t>
      </w:r>
      <w:r w:rsidR="00B06B85" w:rsidRPr="002E1339">
        <w:rPr>
          <w:sz w:val="22"/>
        </w:rPr>
        <w:t xml:space="preserve"> le capacità di servizio ai clienti (da remoto)</w:t>
      </w:r>
      <w:r w:rsidR="002E1339">
        <w:rPr>
          <w:sz w:val="22"/>
        </w:rPr>
        <w:t xml:space="preserve">. Un’evidenza che indurrà in futuro oltre metà delle imprese </w:t>
      </w:r>
      <w:r w:rsidR="00214334" w:rsidRPr="002E1339">
        <w:rPr>
          <w:sz w:val="22"/>
        </w:rPr>
        <w:t>(52,1%)</w:t>
      </w:r>
      <w:r w:rsidR="00643493" w:rsidRPr="002E1339">
        <w:rPr>
          <w:sz w:val="22"/>
        </w:rPr>
        <w:t xml:space="preserve"> ad aumentare la propria presenza online </w:t>
      </w:r>
      <w:r w:rsidR="00B06D5F" w:rsidRPr="002E1339">
        <w:rPr>
          <w:sz w:val="22"/>
        </w:rPr>
        <w:t>(siti, social)</w:t>
      </w:r>
      <w:r w:rsidR="00643493" w:rsidRPr="002E1339">
        <w:rPr>
          <w:sz w:val="22"/>
        </w:rPr>
        <w:t xml:space="preserve">, ad investire in marketing digitale </w:t>
      </w:r>
      <w:r w:rsidR="00214334" w:rsidRPr="002E1339">
        <w:rPr>
          <w:sz w:val="22"/>
        </w:rPr>
        <w:t>(</w:t>
      </w:r>
      <w:proofErr w:type="spellStart"/>
      <w:r w:rsidR="00AD64A8" w:rsidRPr="002E1339">
        <w:rPr>
          <w:sz w:val="22"/>
        </w:rPr>
        <w:t>content</w:t>
      </w:r>
      <w:proofErr w:type="spellEnd"/>
      <w:r w:rsidR="00AD64A8" w:rsidRPr="002E1339">
        <w:rPr>
          <w:sz w:val="22"/>
        </w:rPr>
        <w:t xml:space="preserve"> e performance marketing</w:t>
      </w:r>
      <w:r w:rsidR="00CB7406" w:rsidRPr="002E1339">
        <w:rPr>
          <w:sz w:val="22"/>
        </w:rPr>
        <w:t xml:space="preserve">, web </w:t>
      </w:r>
      <w:proofErr w:type="spellStart"/>
      <w:r w:rsidR="00CB7406" w:rsidRPr="002E1339">
        <w:rPr>
          <w:sz w:val="22"/>
        </w:rPr>
        <w:t>analytics</w:t>
      </w:r>
      <w:proofErr w:type="spellEnd"/>
      <w:r w:rsidR="00CB7406" w:rsidRPr="002E1339">
        <w:rPr>
          <w:sz w:val="22"/>
        </w:rPr>
        <w:t xml:space="preserve"> e </w:t>
      </w:r>
      <w:proofErr w:type="spellStart"/>
      <w:r w:rsidR="00CB7406" w:rsidRPr="002E1339">
        <w:rPr>
          <w:sz w:val="22"/>
        </w:rPr>
        <w:t>automation</w:t>
      </w:r>
      <w:proofErr w:type="spellEnd"/>
      <w:r w:rsidR="00CB7406" w:rsidRPr="002E1339">
        <w:rPr>
          <w:sz w:val="22"/>
        </w:rPr>
        <w:t xml:space="preserve">, </w:t>
      </w:r>
      <w:r w:rsidR="00214334" w:rsidRPr="002E1339">
        <w:rPr>
          <w:sz w:val="22"/>
        </w:rPr>
        <w:t>38,1%)</w:t>
      </w:r>
      <w:r w:rsidR="00CB7406" w:rsidRPr="002E1339">
        <w:rPr>
          <w:sz w:val="22"/>
        </w:rPr>
        <w:t xml:space="preserve">, </w:t>
      </w:r>
      <w:proofErr w:type="gramStart"/>
      <w:r w:rsidR="00CB7406" w:rsidRPr="002E1339">
        <w:rPr>
          <w:sz w:val="22"/>
        </w:rPr>
        <w:t>ad</w:t>
      </w:r>
      <w:proofErr w:type="gramEnd"/>
      <w:r w:rsidR="00CB7406" w:rsidRPr="002E1339">
        <w:rPr>
          <w:sz w:val="22"/>
        </w:rPr>
        <w:t xml:space="preserve"> adottare software per la mappatura e gestione dei rischi </w:t>
      </w:r>
      <w:r w:rsidR="00214334" w:rsidRPr="002E1339">
        <w:rPr>
          <w:sz w:val="22"/>
        </w:rPr>
        <w:t>(34,4%)</w:t>
      </w:r>
      <w:r w:rsidR="00643493" w:rsidRPr="002E1339">
        <w:rPr>
          <w:sz w:val="22"/>
        </w:rPr>
        <w:t>, compresi quelli di sostenibilità ambiental</w:t>
      </w:r>
      <w:r w:rsidR="00CB7406" w:rsidRPr="002E1339">
        <w:rPr>
          <w:sz w:val="22"/>
        </w:rPr>
        <w:t>e, ma anch</w:t>
      </w:r>
      <w:r w:rsidR="00B06B85" w:rsidRPr="002E1339">
        <w:rPr>
          <w:sz w:val="22"/>
        </w:rPr>
        <w:t>e ad aumentare la formazione/istruzione a distanza offerta ai propri clienti all’estero (30,3%).</w:t>
      </w:r>
    </w:p>
    <w:p w14:paraId="20EE88CD" w14:textId="1677E443" w:rsidR="00381AE8" w:rsidRDefault="00381AE8" w:rsidP="00DF4C9B">
      <w:pPr>
        <w:tabs>
          <w:tab w:val="left" w:pos="9639"/>
        </w:tabs>
        <w:ind w:right="-1"/>
        <w:jc w:val="both"/>
        <w:rPr>
          <w:sz w:val="22"/>
        </w:rPr>
      </w:pPr>
    </w:p>
    <w:p w14:paraId="7AEEBA06" w14:textId="7BD6EB2A" w:rsidR="008B4A22" w:rsidRPr="00222CCA" w:rsidRDefault="009A3E19" w:rsidP="00DF4C9B">
      <w:pPr>
        <w:tabs>
          <w:tab w:val="left" w:pos="9639"/>
        </w:tabs>
        <w:spacing w:after="120"/>
        <w:ind w:right="-1"/>
        <w:jc w:val="both"/>
        <w:rPr>
          <w:b/>
          <w:sz w:val="22"/>
          <w:szCs w:val="22"/>
          <w:lang w:val="en-GB"/>
        </w:rPr>
      </w:pPr>
      <w:bookmarkStart w:id="5" w:name="_Hlk157465689"/>
      <w:bookmarkEnd w:id="4"/>
      <w:r w:rsidRPr="00222CCA">
        <w:rPr>
          <w:b/>
          <w:sz w:val="22"/>
          <w:szCs w:val="22"/>
          <w:lang w:val="en-GB"/>
        </w:rPr>
        <w:t xml:space="preserve">Le </w:t>
      </w:r>
      <w:proofErr w:type="spellStart"/>
      <w:r w:rsidRPr="00222CCA">
        <w:rPr>
          <w:b/>
          <w:sz w:val="22"/>
          <w:szCs w:val="22"/>
          <w:lang w:val="en-GB"/>
        </w:rPr>
        <w:t>aziende</w:t>
      </w:r>
      <w:proofErr w:type="spellEnd"/>
      <w:r w:rsidRPr="00222CCA">
        <w:rPr>
          <w:b/>
          <w:sz w:val="22"/>
          <w:szCs w:val="22"/>
          <w:lang w:val="en-GB"/>
        </w:rPr>
        <w:t xml:space="preserve"> Exporter of the Year 2023</w:t>
      </w:r>
    </w:p>
    <w:p w14:paraId="058A88E8" w14:textId="33C5B6AB" w:rsidR="009A3E19" w:rsidRPr="009A3E19" w:rsidRDefault="009A3E19" w:rsidP="009A3E19">
      <w:pPr>
        <w:tabs>
          <w:tab w:val="left" w:pos="9639"/>
        </w:tabs>
        <w:ind w:right="-1"/>
        <w:jc w:val="both"/>
        <w:rPr>
          <w:bCs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Categoria Grandi Imprese - La Marca Vini e Spumanti </w:t>
      </w:r>
      <w:proofErr w:type="spellStart"/>
      <w:r>
        <w:rPr>
          <w:b/>
          <w:i/>
          <w:iCs/>
          <w:sz w:val="20"/>
          <w:szCs w:val="20"/>
        </w:rPr>
        <w:t>S.c.a</w:t>
      </w:r>
      <w:proofErr w:type="spellEnd"/>
      <w:r>
        <w:rPr>
          <w:b/>
          <w:i/>
          <w:iCs/>
          <w:sz w:val="20"/>
          <w:szCs w:val="20"/>
        </w:rPr>
        <w:t xml:space="preserve">. </w:t>
      </w:r>
      <w:r w:rsidRPr="009A3E19">
        <w:rPr>
          <w:bCs/>
          <w:i/>
          <w:iCs/>
          <w:sz w:val="20"/>
          <w:szCs w:val="20"/>
        </w:rPr>
        <w:t>prende il nome dalla zona “La Marca Trevigiana”, situata nel cuore della regione italiana del Prosecco, dove vengono coltivate le sue uve. Fondata nel 1968, La Marca è una cooperativa di secondo livello, che comprende otto cantine di primo livello, con quattordici stabilimenti di trasformazione, ubicate nella provincia di Treviso. Oggi, con più di 5.000 viticoltori e più di 15.000 ettari di vigneto, La Marca rappresenta i prodotti del territorio del Prosecco in tutto il mondo. Conoscenze tramandate da generazioni negli anni, esperienza e professionalità nella vinificazione, competenza e dinamiche strategie commerciali sono gli elementi che fanno di questa azienda una delle cantine più rappresentative della regione del Prosecco.</w:t>
      </w:r>
      <w:r>
        <w:rPr>
          <w:bCs/>
          <w:i/>
          <w:iCs/>
          <w:sz w:val="20"/>
          <w:szCs w:val="20"/>
        </w:rPr>
        <w:t xml:space="preserve"> </w:t>
      </w:r>
      <w:hyperlink r:id="rId6" w:history="1">
        <w:r w:rsidRPr="009A3E19">
          <w:rPr>
            <w:rStyle w:val="Collegamentoipertestuale"/>
            <w:bCs/>
            <w:i/>
            <w:iCs/>
            <w:sz w:val="20"/>
            <w:szCs w:val="20"/>
          </w:rPr>
          <w:t>www.lamarca.it</w:t>
        </w:r>
      </w:hyperlink>
    </w:p>
    <w:p w14:paraId="2E32F73F" w14:textId="77777777" w:rsidR="009A3E19" w:rsidRDefault="009A3E19" w:rsidP="00DF4C9B">
      <w:pPr>
        <w:tabs>
          <w:tab w:val="left" w:pos="9639"/>
        </w:tabs>
        <w:ind w:right="-1"/>
        <w:jc w:val="both"/>
        <w:rPr>
          <w:bCs/>
          <w:i/>
          <w:iCs/>
          <w:sz w:val="20"/>
          <w:szCs w:val="20"/>
        </w:rPr>
      </w:pPr>
    </w:p>
    <w:p w14:paraId="6F54D0FC" w14:textId="5CD1FE89" w:rsidR="009A3E19" w:rsidRDefault="009A3E19" w:rsidP="00DF4C9B">
      <w:pPr>
        <w:tabs>
          <w:tab w:val="left" w:pos="9639"/>
        </w:tabs>
        <w:ind w:right="-1"/>
        <w:jc w:val="both"/>
        <w:rPr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Categoria Piccole e Medie Imprese - Panta Rei </w:t>
      </w:r>
      <w:proofErr w:type="spellStart"/>
      <w:r>
        <w:rPr>
          <w:b/>
          <w:bCs/>
          <w:i/>
          <w:iCs/>
          <w:sz w:val="20"/>
          <w:szCs w:val="20"/>
        </w:rPr>
        <w:t>Srl</w:t>
      </w:r>
      <w:proofErr w:type="spellEnd"/>
      <w:r w:rsidRPr="009A3E19">
        <w:rPr>
          <w:bCs/>
          <w:i/>
          <w:iCs/>
          <w:sz w:val="20"/>
          <w:szCs w:val="20"/>
        </w:rPr>
        <w:t xml:space="preserve">., di Fiesso d’Artico (VE), membro del programma ELITE del Gruppo Euronext, offre servizi di ingegneria progettuale e fornitura di soluzioni tecnologiche ed impiantistiche innovative per il trattamento di acque di processo e il recupero di acque reflue depurate. La </w:t>
      </w:r>
      <w:r>
        <w:rPr>
          <w:bCs/>
          <w:i/>
          <w:iCs/>
          <w:sz w:val="20"/>
          <w:szCs w:val="20"/>
        </w:rPr>
        <w:t>s</w:t>
      </w:r>
      <w:r w:rsidRPr="009A3E19">
        <w:rPr>
          <w:bCs/>
          <w:i/>
          <w:iCs/>
          <w:sz w:val="20"/>
          <w:szCs w:val="20"/>
        </w:rPr>
        <w:t xml:space="preserve">ocietà, che dal 2007 opera in campo internazionale, rivolge principalmente l’offerta a </w:t>
      </w:r>
      <w:proofErr w:type="spellStart"/>
      <w:r>
        <w:rPr>
          <w:bCs/>
          <w:i/>
          <w:iCs/>
          <w:sz w:val="20"/>
          <w:szCs w:val="20"/>
        </w:rPr>
        <w:t>t</w:t>
      </w:r>
      <w:r w:rsidRPr="009A3E19">
        <w:rPr>
          <w:bCs/>
          <w:i/>
          <w:iCs/>
          <w:sz w:val="20"/>
          <w:szCs w:val="20"/>
        </w:rPr>
        <w:t>intolavanderie</w:t>
      </w:r>
      <w:proofErr w:type="spellEnd"/>
      <w:r w:rsidRPr="009A3E19">
        <w:rPr>
          <w:bCs/>
          <w:i/>
          <w:iCs/>
          <w:sz w:val="20"/>
          <w:szCs w:val="20"/>
        </w:rPr>
        <w:t xml:space="preserve"> industriali del settore moda che erogano attività produttive per </w:t>
      </w:r>
      <w:proofErr w:type="gramStart"/>
      <w:r>
        <w:rPr>
          <w:bCs/>
          <w:i/>
          <w:iCs/>
          <w:sz w:val="20"/>
          <w:szCs w:val="20"/>
        </w:rPr>
        <w:t>b</w:t>
      </w:r>
      <w:r w:rsidRPr="009A3E19">
        <w:rPr>
          <w:bCs/>
          <w:i/>
          <w:iCs/>
          <w:sz w:val="20"/>
          <w:szCs w:val="20"/>
        </w:rPr>
        <w:t>rand</w:t>
      </w:r>
      <w:proofErr w:type="gramEnd"/>
      <w:r w:rsidRPr="009A3E19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t>e</w:t>
      </w:r>
      <w:r w:rsidRPr="009A3E19">
        <w:rPr>
          <w:bCs/>
          <w:i/>
          <w:iCs/>
          <w:sz w:val="20"/>
          <w:szCs w:val="20"/>
        </w:rPr>
        <w:t>uropei e del Nord</w:t>
      </w:r>
      <w:r>
        <w:rPr>
          <w:bCs/>
          <w:i/>
          <w:iCs/>
          <w:sz w:val="20"/>
          <w:szCs w:val="20"/>
        </w:rPr>
        <w:t xml:space="preserve"> </w:t>
      </w:r>
      <w:r w:rsidRPr="009A3E19">
        <w:rPr>
          <w:bCs/>
          <w:i/>
          <w:iCs/>
          <w:sz w:val="20"/>
          <w:szCs w:val="20"/>
        </w:rPr>
        <w:t>America. Grazie alla professionalità dei suoi</w:t>
      </w:r>
      <w:r>
        <w:rPr>
          <w:bCs/>
          <w:i/>
          <w:iCs/>
          <w:sz w:val="20"/>
          <w:szCs w:val="20"/>
        </w:rPr>
        <w:t xml:space="preserve"> </w:t>
      </w:r>
      <w:r w:rsidRPr="009A3E19">
        <w:rPr>
          <w:bCs/>
          <w:i/>
          <w:iCs/>
          <w:sz w:val="20"/>
          <w:szCs w:val="20"/>
        </w:rPr>
        <w:t>18 dipendenti e collaboratori, ha progettato oltre 200 impianti in Bangladesh, Pakistan, Indonesia, Honduras e Rep. Dominicana. I ricavi nel 2022 si sono attestati sui 10 milioni di euro tutti generati dall’export.</w:t>
      </w:r>
      <w:r>
        <w:rPr>
          <w:bCs/>
          <w:i/>
          <w:iCs/>
          <w:sz w:val="20"/>
          <w:szCs w:val="20"/>
        </w:rPr>
        <w:t xml:space="preserve"> </w:t>
      </w:r>
      <w:hyperlink r:id="rId7" w:history="1">
        <w:r w:rsidRPr="00AA47B0">
          <w:rPr>
            <w:rStyle w:val="Collegamentoipertestuale"/>
            <w:bCs/>
            <w:i/>
            <w:iCs/>
            <w:sz w:val="20"/>
            <w:szCs w:val="20"/>
          </w:rPr>
          <w:t>www.pantareiwater.com</w:t>
        </w:r>
      </w:hyperlink>
    </w:p>
    <w:p w14:paraId="0C67E62D" w14:textId="08F606F2" w:rsidR="00443B50" w:rsidRDefault="00443B50" w:rsidP="00DF4C9B">
      <w:pPr>
        <w:tabs>
          <w:tab w:val="left" w:pos="9639"/>
        </w:tabs>
        <w:ind w:right="-1"/>
        <w:jc w:val="both"/>
        <w:rPr>
          <w:bCs/>
          <w:i/>
          <w:iCs/>
          <w:sz w:val="20"/>
          <w:szCs w:val="20"/>
        </w:rPr>
      </w:pPr>
    </w:p>
    <w:p w14:paraId="6F91FBCF" w14:textId="6439A1A1" w:rsidR="009A3E19" w:rsidRPr="009A3E19" w:rsidRDefault="009A3E19" w:rsidP="009A3E19">
      <w:pPr>
        <w:tabs>
          <w:tab w:val="left" w:pos="9639"/>
        </w:tabs>
        <w:ind w:right="-1"/>
        <w:jc w:val="both"/>
        <w:rPr>
          <w:bCs/>
          <w:i/>
          <w:iCs/>
          <w:sz w:val="20"/>
          <w:szCs w:val="20"/>
        </w:rPr>
      </w:pPr>
      <w:r>
        <w:rPr>
          <w:b/>
          <w:i/>
          <w:iCs/>
          <w:sz w:val="20"/>
          <w:szCs w:val="20"/>
        </w:rPr>
        <w:t xml:space="preserve">Categoria </w:t>
      </w:r>
      <w:proofErr w:type="spellStart"/>
      <w:r>
        <w:rPr>
          <w:b/>
          <w:i/>
          <w:iCs/>
          <w:sz w:val="20"/>
          <w:szCs w:val="20"/>
        </w:rPr>
        <w:t>Beginners</w:t>
      </w:r>
      <w:proofErr w:type="spellEnd"/>
      <w:r>
        <w:rPr>
          <w:b/>
          <w:i/>
          <w:iCs/>
          <w:sz w:val="20"/>
          <w:szCs w:val="20"/>
        </w:rPr>
        <w:t xml:space="preserve"> - </w:t>
      </w:r>
      <w:proofErr w:type="spellStart"/>
      <w:r w:rsidRPr="009A3E19">
        <w:rPr>
          <w:b/>
          <w:bCs/>
          <w:i/>
          <w:iCs/>
          <w:sz w:val="20"/>
          <w:szCs w:val="20"/>
        </w:rPr>
        <w:t>Xilia</w:t>
      </w:r>
      <w:proofErr w:type="spellEnd"/>
      <w:r w:rsidRPr="009A3E19">
        <w:rPr>
          <w:b/>
          <w:bCs/>
          <w:i/>
          <w:iCs/>
          <w:sz w:val="20"/>
          <w:szCs w:val="20"/>
        </w:rPr>
        <w:t xml:space="preserve"> </w:t>
      </w:r>
      <w:proofErr w:type="spellStart"/>
      <w:r w:rsidRPr="009A3E19">
        <w:rPr>
          <w:b/>
          <w:bCs/>
          <w:i/>
          <w:iCs/>
          <w:sz w:val="20"/>
          <w:szCs w:val="20"/>
        </w:rPr>
        <w:t>Srl</w:t>
      </w:r>
      <w:proofErr w:type="spellEnd"/>
      <w:r w:rsidRPr="009A3E19">
        <w:rPr>
          <w:b/>
          <w:bCs/>
          <w:i/>
          <w:iCs/>
          <w:sz w:val="20"/>
          <w:szCs w:val="20"/>
        </w:rPr>
        <w:t xml:space="preserve"> </w:t>
      </w:r>
      <w:r w:rsidRPr="009A3E19">
        <w:rPr>
          <w:bCs/>
          <w:i/>
          <w:iCs/>
          <w:sz w:val="20"/>
          <w:szCs w:val="20"/>
        </w:rPr>
        <w:t>con sede a Oderzo (TV) e stabilimenti produttivi a Motta di Livenza (TV) e Pasiano (PN) è specializzata nella progettazione e produzione di sistemi per il rivestimento degli spazi e complementi di arredo di design </w:t>
      </w:r>
      <w:r w:rsidR="00222CCA">
        <w:rPr>
          <w:bCs/>
          <w:i/>
          <w:iCs/>
          <w:sz w:val="20"/>
          <w:szCs w:val="20"/>
        </w:rPr>
        <w:t>in</w:t>
      </w:r>
      <w:r w:rsidRPr="009A3E19">
        <w:rPr>
          <w:bCs/>
          <w:i/>
          <w:iCs/>
          <w:sz w:val="20"/>
          <w:szCs w:val="20"/>
        </w:rPr>
        <w:t xml:space="preserve"> cui il denominatore comune è rappresentato dall’esperienza tattile della superficie. Fondata nel 2017 per opera di 3 amici, ha chiuso il 2023 con un fatturato vicino ai 4 milioni di euro ed una quota export superiore al 50% destinata in prevalenza a Stati Uniti, Europa Centrale e Middle East. I prodotti </w:t>
      </w:r>
      <w:proofErr w:type="spellStart"/>
      <w:r w:rsidRPr="009A3E19">
        <w:rPr>
          <w:bCs/>
          <w:i/>
          <w:iCs/>
          <w:sz w:val="20"/>
          <w:szCs w:val="20"/>
        </w:rPr>
        <w:t>Xilia</w:t>
      </w:r>
      <w:proofErr w:type="spellEnd"/>
      <w:r w:rsidRPr="009A3E19">
        <w:rPr>
          <w:bCs/>
          <w:i/>
          <w:iCs/>
          <w:sz w:val="20"/>
          <w:szCs w:val="20"/>
        </w:rPr>
        <w:t xml:space="preserve"> vengono veicolati attraverso il canale degli </w:t>
      </w:r>
      <w:r w:rsidR="0041779A">
        <w:rPr>
          <w:bCs/>
          <w:i/>
          <w:iCs/>
          <w:sz w:val="20"/>
          <w:szCs w:val="20"/>
        </w:rPr>
        <w:t>a</w:t>
      </w:r>
      <w:r w:rsidRPr="009A3E19">
        <w:rPr>
          <w:bCs/>
          <w:i/>
          <w:iCs/>
          <w:sz w:val="20"/>
          <w:szCs w:val="20"/>
        </w:rPr>
        <w:t xml:space="preserve">rchitetti, </w:t>
      </w:r>
      <w:r w:rsidR="0041779A">
        <w:rPr>
          <w:bCs/>
          <w:i/>
          <w:iCs/>
          <w:sz w:val="20"/>
          <w:szCs w:val="20"/>
        </w:rPr>
        <w:t>d</w:t>
      </w:r>
      <w:r w:rsidRPr="009A3E19">
        <w:rPr>
          <w:bCs/>
          <w:i/>
          <w:iCs/>
          <w:sz w:val="20"/>
          <w:szCs w:val="20"/>
        </w:rPr>
        <w:t xml:space="preserve">esigner, </w:t>
      </w:r>
      <w:r w:rsidR="0041779A">
        <w:rPr>
          <w:bCs/>
          <w:i/>
          <w:iCs/>
          <w:sz w:val="20"/>
          <w:szCs w:val="20"/>
        </w:rPr>
        <w:t>c</w:t>
      </w:r>
      <w:r w:rsidRPr="009A3E19">
        <w:rPr>
          <w:bCs/>
          <w:i/>
          <w:iCs/>
          <w:sz w:val="20"/>
          <w:szCs w:val="20"/>
        </w:rPr>
        <w:t xml:space="preserve">ostruttori e </w:t>
      </w:r>
      <w:r w:rsidR="0041779A">
        <w:rPr>
          <w:bCs/>
          <w:i/>
          <w:iCs/>
          <w:sz w:val="20"/>
          <w:szCs w:val="20"/>
        </w:rPr>
        <w:t>s</w:t>
      </w:r>
      <w:r w:rsidRPr="009A3E19">
        <w:rPr>
          <w:bCs/>
          <w:i/>
          <w:iCs/>
          <w:sz w:val="20"/>
          <w:szCs w:val="20"/>
        </w:rPr>
        <w:t xml:space="preserve">viluppatori immobiliari e trovano impiego nei settori </w:t>
      </w:r>
      <w:r w:rsidR="0041779A">
        <w:rPr>
          <w:bCs/>
          <w:i/>
          <w:iCs/>
          <w:sz w:val="20"/>
          <w:szCs w:val="20"/>
        </w:rPr>
        <w:t>r</w:t>
      </w:r>
      <w:r w:rsidRPr="009A3E19">
        <w:rPr>
          <w:bCs/>
          <w:i/>
          <w:iCs/>
          <w:sz w:val="20"/>
          <w:szCs w:val="20"/>
        </w:rPr>
        <w:t xml:space="preserve">esidenziale, </w:t>
      </w:r>
      <w:r w:rsidR="0041779A">
        <w:rPr>
          <w:bCs/>
          <w:i/>
          <w:iCs/>
          <w:sz w:val="20"/>
          <w:szCs w:val="20"/>
        </w:rPr>
        <w:t>o</w:t>
      </w:r>
      <w:r w:rsidRPr="009A3E19">
        <w:rPr>
          <w:bCs/>
          <w:i/>
          <w:iCs/>
          <w:sz w:val="20"/>
          <w:szCs w:val="20"/>
        </w:rPr>
        <w:t>ffice, </w:t>
      </w:r>
      <w:proofErr w:type="spellStart"/>
      <w:r w:rsidR="0041779A">
        <w:rPr>
          <w:bCs/>
          <w:i/>
          <w:iCs/>
          <w:sz w:val="20"/>
          <w:szCs w:val="20"/>
        </w:rPr>
        <w:t>h</w:t>
      </w:r>
      <w:r w:rsidRPr="009A3E19">
        <w:rPr>
          <w:bCs/>
          <w:i/>
          <w:iCs/>
          <w:sz w:val="20"/>
          <w:szCs w:val="20"/>
        </w:rPr>
        <w:t>ospitality</w:t>
      </w:r>
      <w:proofErr w:type="spellEnd"/>
      <w:r w:rsidRPr="009A3E19">
        <w:rPr>
          <w:bCs/>
          <w:i/>
          <w:iCs/>
          <w:sz w:val="20"/>
          <w:szCs w:val="20"/>
        </w:rPr>
        <w:t xml:space="preserve"> e </w:t>
      </w:r>
      <w:r w:rsidR="0041779A">
        <w:rPr>
          <w:bCs/>
          <w:i/>
          <w:iCs/>
          <w:sz w:val="20"/>
          <w:szCs w:val="20"/>
        </w:rPr>
        <w:t>n</w:t>
      </w:r>
      <w:r w:rsidRPr="009A3E19">
        <w:rPr>
          <w:bCs/>
          <w:i/>
          <w:iCs/>
          <w:sz w:val="20"/>
          <w:szCs w:val="20"/>
        </w:rPr>
        <w:t>avale.</w:t>
      </w:r>
      <w:r w:rsidR="0041779A">
        <w:rPr>
          <w:bCs/>
          <w:i/>
          <w:iCs/>
          <w:sz w:val="20"/>
          <w:szCs w:val="20"/>
        </w:rPr>
        <w:t xml:space="preserve"> </w:t>
      </w:r>
      <w:hyperlink r:id="rId8" w:history="1">
        <w:r w:rsidR="0041779A" w:rsidRPr="00AA47B0">
          <w:rPr>
            <w:rStyle w:val="Collegamentoipertestuale"/>
            <w:bCs/>
            <w:i/>
            <w:iCs/>
            <w:sz w:val="20"/>
            <w:szCs w:val="20"/>
          </w:rPr>
          <w:t>www.xiliawood.com</w:t>
        </w:r>
      </w:hyperlink>
    </w:p>
    <w:bookmarkEnd w:id="5"/>
    <w:p w14:paraId="28983A3B" w14:textId="77777777" w:rsidR="009A3E19" w:rsidRPr="00485D43" w:rsidRDefault="009A3E19" w:rsidP="00DF4C9B">
      <w:pPr>
        <w:tabs>
          <w:tab w:val="left" w:pos="9639"/>
        </w:tabs>
        <w:ind w:right="-1"/>
        <w:jc w:val="both"/>
        <w:rPr>
          <w:bCs/>
          <w:sz w:val="22"/>
          <w:szCs w:val="22"/>
        </w:rPr>
      </w:pPr>
    </w:p>
    <w:bookmarkEnd w:id="2"/>
    <w:p w14:paraId="23475BF1" w14:textId="77777777" w:rsidR="00485D43" w:rsidRPr="00485D43" w:rsidRDefault="00485D43" w:rsidP="00DF4C9B">
      <w:pPr>
        <w:tabs>
          <w:tab w:val="left" w:pos="9072"/>
        </w:tabs>
        <w:ind w:right="-1"/>
        <w:jc w:val="both"/>
        <w:rPr>
          <w:bCs/>
          <w:sz w:val="22"/>
          <w:szCs w:val="22"/>
        </w:rPr>
      </w:pPr>
    </w:p>
    <w:p w14:paraId="353714AF" w14:textId="12A6C7B0" w:rsidR="003A0DF1" w:rsidRDefault="003A0DF1" w:rsidP="00DF4C9B">
      <w:pPr>
        <w:tabs>
          <w:tab w:val="left" w:pos="9072"/>
        </w:tabs>
        <w:ind w:right="-1"/>
        <w:jc w:val="both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_______________</w:t>
      </w:r>
    </w:p>
    <w:p w14:paraId="1D214A01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120C655" w14:textId="77777777" w:rsidR="003A0DF1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Comunicazione e Relazioni con la Stampa</w:t>
      </w:r>
    </w:p>
    <w:p w14:paraId="016566AD" w14:textId="77777777" w:rsidR="003A0DF1" w:rsidRPr="00FE4EBB" w:rsidRDefault="003A0DF1" w:rsidP="00DF4C9B">
      <w:pPr>
        <w:tabs>
          <w:tab w:val="left" w:pos="8931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FE4EBB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s.sanseverinati@confindustriavenest.it</w:t>
      </w:r>
      <w:r w:rsidRPr="00FE4EBB">
        <w:rPr>
          <w:bCs/>
          <w:i/>
          <w:iCs/>
          <w:sz w:val="22"/>
          <w:szCs w:val="22"/>
        </w:rPr>
        <w:t xml:space="preserve"> </w:t>
      </w:r>
      <w:r w:rsidRPr="00FE4EBB">
        <w:rPr>
          <w:bCs/>
          <w:i/>
          <w:sz w:val="22"/>
          <w:szCs w:val="22"/>
        </w:rPr>
        <w:t xml:space="preserve"> </w:t>
      </w:r>
    </w:p>
    <w:p w14:paraId="2A20AC60" w14:textId="77777777" w:rsidR="003A0DF1" w:rsidRPr="005A3145" w:rsidRDefault="003A0DF1" w:rsidP="00DF4C9B">
      <w:pPr>
        <w:tabs>
          <w:tab w:val="left" w:pos="8505"/>
          <w:tab w:val="left" w:pos="8789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5A3145">
        <w:rPr>
          <w:bCs/>
          <w:i/>
          <w:iCs/>
          <w:sz w:val="22"/>
          <w:szCs w:val="22"/>
        </w:rPr>
        <w:t xml:space="preserve">Leonardo Canal </w:t>
      </w:r>
      <w:r>
        <w:rPr>
          <w:bCs/>
          <w:i/>
          <w:iCs/>
          <w:sz w:val="22"/>
          <w:szCs w:val="22"/>
        </w:rPr>
        <w:t xml:space="preserve">- </w:t>
      </w:r>
      <w:r w:rsidRPr="005A3145">
        <w:rPr>
          <w:bCs/>
          <w:i/>
          <w:iCs/>
          <w:sz w:val="22"/>
          <w:szCs w:val="22"/>
        </w:rPr>
        <w:t>Tel. 0422 294253 - 335 1360291</w:t>
      </w:r>
      <w:r>
        <w:rPr>
          <w:bCs/>
          <w:i/>
          <w:iCs/>
          <w:sz w:val="22"/>
          <w:szCs w:val="22"/>
        </w:rPr>
        <w:t xml:space="preserve"> - l.canal@confindustriavenest.it</w:t>
      </w:r>
    </w:p>
    <w:p w14:paraId="7C1BD026" w14:textId="6B4178C1" w:rsidR="001C39F6" w:rsidRDefault="003A0DF1" w:rsidP="00DF4C9B">
      <w:pPr>
        <w:tabs>
          <w:tab w:val="left" w:pos="9072"/>
        </w:tabs>
        <w:spacing w:line="276" w:lineRule="auto"/>
        <w:ind w:right="-1"/>
        <w:jc w:val="both"/>
        <w:rPr>
          <w:i/>
          <w:sz w:val="22"/>
        </w:rPr>
      </w:pPr>
      <w:r>
        <w:rPr>
          <w:i/>
          <w:sz w:val="22"/>
        </w:rPr>
        <w:t xml:space="preserve">Alessandro Macciò - </w:t>
      </w:r>
      <w:r w:rsidRPr="00FE4EBB">
        <w:rPr>
          <w:i/>
          <w:sz w:val="22"/>
        </w:rPr>
        <w:t xml:space="preserve">Tel. </w:t>
      </w:r>
      <w:r>
        <w:rPr>
          <w:i/>
          <w:sz w:val="22"/>
        </w:rPr>
        <w:t>049 8227409</w:t>
      </w:r>
      <w:r w:rsidR="002D46FA">
        <w:rPr>
          <w:i/>
          <w:sz w:val="22"/>
        </w:rPr>
        <w:t xml:space="preserve"> - 334 6198995 </w:t>
      </w:r>
      <w:r>
        <w:rPr>
          <w:i/>
          <w:sz w:val="22"/>
        </w:rPr>
        <w:t>- a.maccio@confindustriavenest.it</w:t>
      </w:r>
    </w:p>
    <w:sectPr w:rsidR="001C39F6" w:rsidSect="00A34057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0677B"/>
    <w:multiLevelType w:val="hybridMultilevel"/>
    <w:tmpl w:val="452AE30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1064EC4"/>
    <w:multiLevelType w:val="multilevel"/>
    <w:tmpl w:val="F388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36350"/>
    <w:multiLevelType w:val="hybridMultilevel"/>
    <w:tmpl w:val="E87EE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80308"/>
    <w:multiLevelType w:val="hybridMultilevel"/>
    <w:tmpl w:val="BA107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992094">
    <w:abstractNumId w:val="1"/>
  </w:num>
  <w:num w:numId="2" w16cid:durableId="1536579450">
    <w:abstractNumId w:val="0"/>
  </w:num>
  <w:num w:numId="3" w16cid:durableId="1480803585">
    <w:abstractNumId w:val="3"/>
  </w:num>
  <w:num w:numId="4" w16cid:durableId="1732802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F1"/>
    <w:rsid w:val="00002F99"/>
    <w:rsid w:val="00003B82"/>
    <w:rsid w:val="00006484"/>
    <w:rsid w:val="00020497"/>
    <w:rsid w:val="000228DC"/>
    <w:rsid w:val="000552E1"/>
    <w:rsid w:val="0007180E"/>
    <w:rsid w:val="0007477A"/>
    <w:rsid w:val="0008225F"/>
    <w:rsid w:val="00083F5C"/>
    <w:rsid w:val="000A2F13"/>
    <w:rsid w:val="000C7DC1"/>
    <w:rsid w:val="000E008D"/>
    <w:rsid w:val="000E38D0"/>
    <w:rsid w:val="000F2723"/>
    <w:rsid w:val="0010069E"/>
    <w:rsid w:val="00106400"/>
    <w:rsid w:val="00106841"/>
    <w:rsid w:val="0011206B"/>
    <w:rsid w:val="00122009"/>
    <w:rsid w:val="00126E93"/>
    <w:rsid w:val="00135B19"/>
    <w:rsid w:val="0014791F"/>
    <w:rsid w:val="00151A4C"/>
    <w:rsid w:val="00170194"/>
    <w:rsid w:val="00187D39"/>
    <w:rsid w:val="001A50C8"/>
    <w:rsid w:val="001C143B"/>
    <w:rsid w:val="001C39F6"/>
    <w:rsid w:val="001C75EC"/>
    <w:rsid w:val="001F141A"/>
    <w:rsid w:val="00213579"/>
    <w:rsid w:val="00214334"/>
    <w:rsid w:val="00222CCA"/>
    <w:rsid w:val="002304B1"/>
    <w:rsid w:val="00257097"/>
    <w:rsid w:val="002711C3"/>
    <w:rsid w:val="0027287B"/>
    <w:rsid w:val="00275069"/>
    <w:rsid w:val="002758EE"/>
    <w:rsid w:val="002776E1"/>
    <w:rsid w:val="00280BE7"/>
    <w:rsid w:val="00281C06"/>
    <w:rsid w:val="002A2F81"/>
    <w:rsid w:val="002B6FF4"/>
    <w:rsid w:val="002C2597"/>
    <w:rsid w:val="002D46FA"/>
    <w:rsid w:val="002E1339"/>
    <w:rsid w:val="002E7591"/>
    <w:rsid w:val="00317C5F"/>
    <w:rsid w:val="00337566"/>
    <w:rsid w:val="00341E7C"/>
    <w:rsid w:val="0034589B"/>
    <w:rsid w:val="00346A06"/>
    <w:rsid w:val="003660F3"/>
    <w:rsid w:val="00381AE8"/>
    <w:rsid w:val="00393432"/>
    <w:rsid w:val="003A0DF1"/>
    <w:rsid w:val="003A2A82"/>
    <w:rsid w:val="003B6F20"/>
    <w:rsid w:val="003C4421"/>
    <w:rsid w:val="003C6086"/>
    <w:rsid w:val="003E463A"/>
    <w:rsid w:val="003F1E5A"/>
    <w:rsid w:val="004118E4"/>
    <w:rsid w:val="0041779A"/>
    <w:rsid w:val="0043579A"/>
    <w:rsid w:val="004410D5"/>
    <w:rsid w:val="00443B50"/>
    <w:rsid w:val="00477B13"/>
    <w:rsid w:val="00485D43"/>
    <w:rsid w:val="00497FE6"/>
    <w:rsid w:val="004B765B"/>
    <w:rsid w:val="004C1914"/>
    <w:rsid w:val="004D2E7C"/>
    <w:rsid w:val="0050328C"/>
    <w:rsid w:val="00505163"/>
    <w:rsid w:val="00513535"/>
    <w:rsid w:val="00513FC3"/>
    <w:rsid w:val="00514AED"/>
    <w:rsid w:val="00523F81"/>
    <w:rsid w:val="005332F4"/>
    <w:rsid w:val="005360CF"/>
    <w:rsid w:val="0054440D"/>
    <w:rsid w:val="00554EAB"/>
    <w:rsid w:val="005634E8"/>
    <w:rsid w:val="0059121E"/>
    <w:rsid w:val="005A3929"/>
    <w:rsid w:val="005A69F5"/>
    <w:rsid w:val="005B640F"/>
    <w:rsid w:val="005F47F6"/>
    <w:rsid w:val="00643493"/>
    <w:rsid w:val="006502D0"/>
    <w:rsid w:val="00650AD7"/>
    <w:rsid w:val="0066190A"/>
    <w:rsid w:val="00664994"/>
    <w:rsid w:val="00670D24"/>
    <w:rsid w:val="006924CB"/>
    <w:rsid w:val="00693467"/>
    <w:rsid w:val="00695A9B"/>
    <w:rsid w:val="006C633A"/>
    <w:rsid w:val="006D69DB"/>
    <w:rsid w:val="006F2A2B"/>
    <w:rsid w:val="0070082F"/>
    <w:rsid w:val="00702BFE"/>
    <w:rsid w:val="00707D9B"/>
    <w:rsid w:val="00735843"/>
    <w:rsid w:val="007378D9"/>
    <w:rsid w:val="007541CA"/>
    <w:rsid w:val="00755AEA"/>
    <w:rsid w:val="007658AA"/>
    <w:rsid w:val="007700CE"/>
    <w:rsid w:val="00775CB3"/>
    <w:rsid w:val="00776563"/>
    <w:rsid w:val="00786980"/>
    <w:rsid w:val="007C43B7"/>
    <w:rsid w:val="007D78DE"/>
    <w:rsid w:val="007E3378"/>
    <w:rsid w:val="007F776B"/>
    <w:rsid w:val="00805418"/>
    <w:rsid w:val="00807D50"/>
    <w:rsid w:val="00810147"/>
    <w:rsid w:val="00864F23"/>
    <w:rsid w:val="008A1AB0"/>
    <w:rsid w:val="008A1BE9"/>
    <w:rsid w:val="008A5B8A"/>
    <w:rsid w:val="008B2CA9"/>
    <w:rsid w:val="008B4A22"/>
    <w:rsid w:val="008C5143"/>
    <w:rsid w:val="008E69A7"/>
    <w:rsid w:val="008F6D5C"/>
    <w:rsid w:val="0092062F"/>
    <w:rsid w:val="009279B9"/>
    <w:rsid w:val="00940C4B"/>
    <w:rsid w:val="00944051"/>
    <w:rsid w:val="00946EF6"/>
    <w:rsid w:val="009560F5"/>
    <w:rsid w:val="00962F67"/>
    <w:rsid w:val="00966D97"/>
    <w:rsid w:val="00966DBD"/>
    <w:rsid w:val="00992EA7"/>
    <w:rsid w:val="00997218"/>
    <w:rsid w:val="009A3E19"/>
    <w:rsid w:val="009A4420"/>
    <w:rsid w:val="009A771B"/>
    <w:rsid w:val="009B0140"/>
    <w:rsid w:val="009C3DAB"/>
    <w:rsid w:val="009E3C8F"/>
    <w:rsid w:val="009F3070"/>
    <w:rsid w:val="009F6529"/>
    <w:rsid w:val="00A06E9A"/>
    <w:rsid w:val="00A17881"/>
    <w:rsid w:val="00A30A78"/>
    <w:rsid w:val="00A34057"/>
    <w:rsid w:val="00A40406"/>
    <w:rsid w:val="00A46C2E"/>
    <w:rsid w:val="00A53AD5"/>
    <w:rsid w:val="00A77654"/>
    <w:rsid w:val="00A923C5"/>
    <w:rsid w:val="00A94D39"/>
    <w:rsid w:val="00A97193"/>
    <w:rsid w:val="00AA4F2C"/>
    <w:rsid w:val="00AC2EFA"/>
    <w:rsid w:val="00AD64A8"/>
    <w:rsid w:val="00AE12A8"/>
    <w:rsid w:val="00AE4918"/>
    <w:rsid w:val="00AF65A8"/>
    <w:rsid w:val="00B02D0D"/>
    <w:rsid w:val="00B05147"/>
    <w:rsid w:val="00B05F66"/>
    <w:rsid w:val="00B06B85"/>
    <w:rsid w:val="00B06D5F"/>
    <w:rsid w:val="00B149F5"/>
    <w:rsid w:val="00B17106"/>
    <w:rsid w:val="00B32C5B"/>
    <w:rsid w:val="00B358BA"/>
    <w:rsid w:val="00B417E4"/>
    <w:rsid w:val="00B4314A"/>
    <w:rsid w:val="00B45412"/>
    <w:rsid w:val="00B60CA6"/>
    <w:rsid w:val="00B767C0"/>
    <w:rsid w:val="00B77380"/>
    <w:rsid w:val="00B84DF8"/>
    <w:rsid w:val="00B94161"/>
    <w:rsid w:val="00B96CA2"/>
    <w:rsid w:val="00B97CBF"/>
    <w:rsid w:val="00BA1547"/>
    <w:rsid w:val="00BA29F0"/>
    <w:rsid w:val="00BB2B3A"/>
    <w:rsid w:val="00BB39B8"/>
    <w:rsid w:val="00BB3BC1"/>
    <w:rsid w:val="00BC2FA6"/>
    <w:rsid w:val="00BC51C0"/>
    <w:rsid w:val="00BE2526"/>
    <w:rsid w:val="00BE2689"/>
    <w:rsid w:val="00BE3290"/>
    <w:rsid w:val="00BF10EE"/>
    <w:rsid w:val="00C02F77"/>
    <w:rsid w:val="00C04580"/>
    <w:rsid w:val="00C12D3F"/>
    <w:rsid w:val="00C207C3"/>
    <w:rsid w:val="00C2371C"/>
    <w:rsid w:val="00C270CA"/>
    <w:rsid w:val="00C32145"/>
    <w:rsid w:val="00C410C8"/>
    <w:rsid w:val="00C7168C"/>
    <w:rsid w:val="00C843C5"/>
    <w:rsid w:val="00C91FCF"/>
    <w:rsid w:val="00CA5CD0"/>
    <w:rsid w:val="00CA745A"/>
    <w:rsid w:val="00CB2977"/>
    <w:rsid w:val="00CB7406"/>
    <w:rsid w:val="00CC3E59"/>
    <w:rsid w:val="00CD234A"/>
    <w:rsid w:val="00CD2B84"/>
    <w:rsid w:val="00CE16D0"/>
    <w:rsid w:val="00CF1378"/>
    <w:rsid w:val="00CF762A"/>
    <w:rsid w:val="00D203E1"/>
    <w:rsid w:val="00D444AE"/>
    <w:rsid w:val="00D62922"/>
    <w:rsid w:val="00D82F1F"/>
    <w:rsid w:val="00D941E8"/>
    <w:rsid w:val="00DA7BE5"/>
    <w:rsid w:val="00DB2D0E"/>
    <w:rsid w:val="00DC20C6"/>
    <w:rsid w:val="00DC3D28"/>
    <w:rsid w:val="00DF0B93"/>
    <w:rsid w:val="00DF3164"/>
    <w:rsid w:val="00DF4C9B"/>
    <w:rsid w:val="00DF62C6"/>
    <w:rsid w:val="00E16D8A"/>
    <w:rsid w:val="00E21B38"/>
    <w:rsid w:val="00E273A6"/>
    <w:rsid w:val="00E3288B"/>
    <w:rsid w:val="00E34330"/>
    <w:rsid w:val="00E36CA0"/>
    <w:rsid w:val="00E44D54"/>
    <w:rsid w:val="00E45320"/>
    <w:rsid w:val="00E5141B"/>
    <w:rsid w:val="00E54CB6"/>
    <w:rsid w:val="00E66047"/>
    <w:rsid w:val="00E86B6C"/>
    <w:rsid w:val="00E979AC"/>
    <w:rsid w:val="00E97C95"/>
    <w:rsid w:val="00EA4B41"/>
    <w:rsid w:val="00EA6F3D"/>
    <w:rsid w:val="00EB4BFC"/>
    <w:rsid w:val="00EB7EB7"/>
    <w:rsid w:val="00EC353E"/>
    <w:rsid w:val="00EC4F09"/>
    <w:rsid w:val="00ED5EE0"/>
    <w:rsid w:val="00EE03F8"/>
    <w:rsid w:val="00F00364"/>
    <w:rsid w:val="00F11F01"/>
    <w:rsid w:val="00F152CF"/>
    <w:rsid w:val="00F26DD8"/>
    <w:rsid w:val="00F42550"/>
    <w:rsid w:val="00F4497C"/>
    <w:rsid w:val="00F63BF5"/>
    <w:rsid w:val="00F669AF"/>
    <w:rsid w:val="00F82D11"/>
    <w:rsid w:val="00F90D7A"/>
    <w:rsid w:val="00F914AD"/>
    <w:rsid w:val="00F95F3C"/>
    <w:rsid w:val="00FA6771"/>
    <w:rsid w:val="00FB0CC5"/>
    <w:rsid w:val="00FB6929"/>
    <w:rsid w:val="00FB78C9"/>
    <w:rsid w:val="00FB79A0"/>
    <w:rsid w:val="00FC5EAE"/>
    <w:rsid w:val="00FD24B1"/>
    <w:rsid w:val="00FE4BD9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589"/>
  <w15:chartTrackingRefBased/>
  <w15:docId w15:val="{39840577-7635-4D6F-8CFC-D69B1C73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3A0DF1"/>
    <w:pPr>
      <w:ind w:right="638"/>
      <w:jc w:val="right"/>
    </w:pPr>
    <w:rPr>
      <w:rFonts w:ascii="Arial" w:hAnsi="Arial" w:cs="Arial"/>
      <w:sz w:val="28"/>
    </w:rPr>
  </w:style>
  <w:style w:type="paragraph" w:styleId="Paragrafoelenco">
    <w:name w:val="List Paragraph"/>
    <w:basedOn w:val="Normale"/>
    <w:uiPriority w:val="34"/>
    <w:qFormat/>
    <w:rsid w:val="00AA4F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A3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3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iliawoo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tareiwate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arc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1967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4</cp:revision>
  <cp:lastPrinted>2024-01-31T12:33:00Z</cp:lastPrinted>
  <dcterms:created xsi:type="dcterms:W3CDTF">2024-01-31T08:52:00Z</dcterms:created>
  <dcterms:modified xsi:type="dcterms:W3CDTF">2024-01-31T12:53:00Z</dcterms:modified>
</cp:coreProperties>
</file>